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5934" w14:textId="45D53CDE" w:rsidR="00AD0F0A" w:rsidRPr="001F0FD2" w:rsidRDefault="00AD0F0A" w:rsidP="001F0FD2">
      <w:pPr>
        <w:pStyle w:val="Heading1"/>
        <w:jc w:val="both"/>
        <w:rPr>
          <w:sz w:val="36"/>
          <w:szCs w:val="36"/>
        </w:rPr>
      </w:pPr>
      <w:r w:rsidRPr="001F0FD2">
        <w:rPr>
          <w:sz w:val="36"/>
          <w:szCs w:val="36"/>
        </w:rPr>
        <w:t xml:space="preserve">Desafíos y </w:t>
      </w:r>
      <w:r w:rsidR="004928AA">
        <w:rPr>
          <w:sz w:val="36"/>
          <w:szCs w:val="36"/>
        </w:rPr>
        <w:t>r</w:t>
      </w:r>
      <w:r w:rsidRPr="001F0FD2">
        <w:rPr>
          <w:sz w:val="36"/>
          <w:szCs w:val="36"/>
        </w:rPr>
        <w:t xml:space="preserve">espuestas de Europa y la OTAN ante la </w:t>
      </w:r>
      <w:r w:rsidR="004928AA">
        <w:rPr>
          <w:sz w:val="36"/>
          <w:szCs w:val="36"/>
        </w:rPr>
        <w:t>g</w:t>
      </w:r>
      <w:r w:rsidRPr="001F0FD2">
        <w:rPr>
          <w:sz w:val="36"/>
          <w:szCs w:val="36"/>
        </w:rPr>
        <w:t xml:space="preserve">uerra </w:t>
      </w:r>
      <w:r w:rsidR="004928AA">
        <w:rPr>
          <w:sz w:val="36"/>
          <w:szCs w:val="36"/>
        </w:rPr>
        <w:t>h</w:t>
      </w:r>
      <w:r w:rsidRPr="001F0FD2">
        <w:rPr>
          <w:sz w:val="36"/>
          <w:szCs w:val="36"/>
        </w:rPr>
        <w:t xml:space="preserve">íbrida </w:t>
      </w:r>
      <w:r w:rsidR="004928AA">
        <w:rPr>
          <w:sz w:val="36"/>
          <w:szCs w:val="36"/>
        </w:rPr>
        <w:t>R</w:t>
      </w:r>
      <w:r w:rsidRPr="001F0FD2">
        <w:rPr>
          <w:sz w:val="36"/>
          <w:szCs w:val="36"/>
        </w:rPr>
        <w:t>usa</w:t>
      </w:r>
      <w:r w:rsidR="004928AA">
        <w:rPr>
          <w:sz w:val="36"/>
          <w:szCs w:val="36"/>
        </w:rPr>
        <w:t>, especialmente</w:t>
      </w:r>
      <w:r w:rsidR="006E5EAE">
        <w:rPr>
          <w:sz w:val="36"/>
          <w:szCs w:val="36"/>
        </w:rPr>
        <w:t xml:space="preserve"> en ámbito energético </w:t>
      </w:r>
    </w:p>
    <w:p w14:paraId="36EA4F41" w14:textId="77777777" w:rsidR="00AD0F0A" w:rsidRPr="001F0FD2" w:rsidRDefault="00AD0F0A" w:rsidP="001F0FD2">
      <w:pPr>
        <w:pStyle w:val="Heading2"/>
        <w:jc w:val="both"/>
        <w:rPr>
          <w:sz w:val="28"/>
          <w:szCs w:val="28"/>
        </w:rPr>
      </w:pPr>
      <w:r w:rsidRPr="001F0FD2">
        <w:rPr>
          <w:sz w:val="28"/>
          <w:szCs w:val="28"/>
        </w:rPr>
        <w:t>Estrategias Europeas frente a la Guerra Híbrida</w:t>
      </w:r>
    </w:p>
    <w:p w14:paraId="6DBF81FC" w14:textId="53CD59F7" w:rsidR="006804F0" w:rsidRDefault="00BA5E40" w:rsidP="001F0FD2">
      <w:pPr>
        <w:jc w:val="both"/>
      </w:pPr>
      <w:r>
        <w:t>La Unión Europea (UE) y la OTAN</w:t>
      </w:r>
      <w:r w:rsidR="00AD0F0A" w:rsidRPr="00515F49">
        <w:t xml:space="preserve"> ha tenido que adaptar sus estrategias energéticas y de seguridad tras la agresión rusa a Ucrania, enfrentando un escenario de guerra híbrida que afecta especialmente el ámbito </w:t>
      </w:r>
      <w:r w:rsidR="00250248" w:rsidRPr="00515F49">
        <w:t>energético,</w:t>
      </w:r>
      <w:r>
        <w:t xml:space="preserve"> pero no solo</w:t>
      </w:r>
      <w:r w:rsidR="00AD0F0A" w:rsidRPr="00515F49">
        <w:t xml:space="preserve">. El continente se pregunta </w:t>
      </w:r>
      <w:r>
        <w:t xml:space="preserve">hoy en día </w:t>
      </w:r>
      <w:r w:rsidR="00AD0F0A" w:rsidRPr="00515F49">
        <w:t xml:space="preserve">si podrá ganar la competencia entre grandes </w:t>
      </w:r>
      <w:r w:rsidR="006804F0" w:rsidRPr="00515F49">
        <w:t>poten</w:t>
      </w:r>
      <w:r w:rsidR="008E5723" w:rsidRPr="00515F49">
        <w:t>ci</w:t>
      </w:r>
      <w:r w:rsidR="006804F0" w:rsidRPr="00515F49">
        <w:t>a</w:t>
      </w:r>
      <w:r w:rsidR="008E5723" w:rsidRPr="00515F49">
        <w:t>s</w:t>
      </w:r>
      <w:r w:rsidR="00AD0F0A" w:rsidRPr="00515F49">
        <w:t>, particularmente en lo relacionado con la transición tecnológica y energética.</w:t>
      </w:r>
      <w:r w:rsidR="008E5723" w:rsidRPr="00515F49">
        <w:t xml:space="preserve"> El problema fundamental es que la </w:t>
      </w:r>
      <w:r w:rsidR="00515F49" w:rsidRPr="00515F49">
        <w:t>transición</w:t>
      </w:r>
      <w:r w:rsidR="008E5723" w:rsidRPr="00515F49">
        <w:t xml:space="preserve"> </w:t>
      </w:r>
      <w:r w:rsidR="00515F49" w:rsidRPr="00515F49">
        <w:t>tecnológica</w:t>
      </w:r>
      <w:r w:rsidR="00515F49">
        <w:t xml:space="preserve"> requiere mucha energía (se piense solamente a los data centers y les aplicaciones de AI) mientras que la energía verde necesita tiempo todavía para estar reemplazando completamente las fuentes fósiles, </w:t>
      </w:r>
      <w:r w:rsidR="001D226A">
        <w:t>así</w:t>
      </w:r>
      <w:r w:rsidR="00515F49">
        <w:t xml:space="preserve"> que ganar </w:t>
      </w:r>
      <w:r w:rsidR="001D226A">
        <w:t xml:space="preserve">las dos transiciones parece incompatible. </w:t>
      </w:r>
    </w:p>
    <w:p w14:paraId="7B9A3648" w14:textId="77777777" w:rsidR="00452E36" w:rsidRPr="00515F49" w:rsidRDefault="00452E36" w:rsidP="001F0FD2">
      <w:pPr>
        <w:jc w:val="both"/>
      </w:pPr>
    </w:p>
    <w:p w14:paraId="330EC4EB" w14:textId="5E0568CF" w:rsidR="00853D75" w:rsidRDefault="006804F0" w:rsidP="001F0FD2">
      <w:pPr>
        <w:jc w:val="both"/>
        <w:rPr>
          <w:i/>
          <w:iCs/>
        </w:rPr>
      </w:pPr>
      <w:r w:rsidRPr="00515F49">
        <w:t>La guerra híbrida</w:t>
      </w:r>
      <w:r w:rsidR="00853D75" w:rsidRPr="00515F49">
        <w:rPr>
          <w:i/>
          <w:iCs/>
          <w:vertAlign w:val="superscript"/>
        </w:rPr>
        <w:footnoteReference w:id="1"/>
      </w:r>
      <w:r w:rsidR="00853D75" w:rsidRPr="00515F49">
        <w:t xml:space="preserve"> se convirtió en la última década en un concepto estratégico fundamental para la OTAN y la UE, que están mejorando sus estrategias y aumentando su cooperación para disuadir, defender y reaccionar ante este tipo de ataques, mientras se preparan para un posible enfrentamiento cinético ruso en los próximos años</w:t>
      </w:r>
      <w:r w:rsidR="00853D75" w:rsidRPr="00515F49">
        <w:rPr>
          <w:i/>
          <w:iCs/>
        </w:rPr>
        <w:t>.</w:t>
      </w:r>
      <w:r w:rsidR="00853D75" w:rsidRPr="00515F49">
        <w:rPr>
          <w:i/>
          <w:iCs/>
          <w:vertAlign w:val="superscript"/>
        </w:rPr>
        <w:footnoteReference w:id="2"/>
      </w:r>
      <w:r w:rsidR="00853D75" w:rsidRPr="00515F49">
        <w:t xml:space="preserve"> El reciente auge de la guerra híbrida por parte de Rusia</w:t>
      </w:r>
      <w:r w:rsidR="00853D75" w:rsidRPr="00515F49">
        <w:rPr>
          <w:i/>
          <w:iCs/>
          <w:vertAlign w:val="superscript"/>
        </w:rPr>
        <w:footnoteReference w:id="3"/>
      </w:r>
      <w:r w:rsidR="00853D75" w:rsidRPr="00515F49">
        <w:t xml:space="preserve"> (pero también de China)</w:t>
      </w:r>
      <w:r w:rsidR="00853D75" w:rsidRPr="00515F49">
        <w:rPr>
          <w:i/>
          <w:iCs/>
          <w:vertAlign w:val="superscript"/>
        </w:rPr>
        <w:footnoteReference w:id="4"/>
      </w:r>
      <w:r w:rsidR="00853D75" w:rsidRPr="00515F49">
        <w:rPr>
          <w:i/>
          <w:iCs/>
        </w:rPr>
        <w:t xml:space="preserve"> </w:t>
      </w:r>
      <w:r w:rsidR="00853D75" w:rsidRPr="00515F49">
        <w:t>utilizando todas las formas de poder nacional</w:t>
      </w:r>
      <w:r w:rsidR="00853D75">
        <w:t xml:space="preserve"> (</w:t>
      </w:r>
      <w:r w:rsidR="00853D75" w:rsidRPr="00290426">
        <w:t>conocid</w:t>
      </w:r>
      <w:r w:rsidR="00853D75">
        <w:t>a</w:t>
      </w:r>
      <w:r w:rsidR="00853D75" w:rsidRPr="00290426">
        <w:t>s co</w:t>
      </w:r>
      <w:r w:rsidR="00853D75">
        <w:t xml:space="preserve">n el acrónimo de </w:t>
      </w:r>
      <w:r w:rsidR="00853D75" w:rsidRPr="00290426">
        <w:t>DIMEFIL</w:t>
      </w:r>
      <w:r w:rsidR="00853D75">
        <w:rPr>
          <w:rStyle w:val="FootnoteReference"/>
        </w:rPr>
        <w:footnoteReference w:id="5"/>
      </w:r>
      <w:r w:rsidR="00853D75" w:rsidRPr="00290426">
        <w:t xml:space="preserve">: </w:t>
      </w:r>
      <w:r w:rsidR="00853D75">
        <w:t xml:space="preserve">elementos </w:t>
      </w:r>
      <w:r w:rsidR="00853D75" w:rsidRPr="00290426">
        <w:t>diplomáticos, de información, militares, económicos, financieros, de inteligencia</w:t>
      </w:r>
      <w:r w:rsidR="00853D75">
        <w:t>,</w:t>
      </w:r>
      <w:r w:rsidR="00853D75" w:rsidRPr="00290426">
        <w:t xml:space="preserve"> y </w:t>
      </w:r>
      <w:r w:rsidR="00853D75">
        <w:t>legales/</w:t>
      </w:r>
      <w:r w:rsidR="00853D75" w:rsidRPr="00290426">
        <w:t>policiales</w:t>
      </w:r>
      <w:r w:rsidR="00853D75">
        <w:t>)</w:t>
      </w:r>
      <w:r w:rsidR="00853D75" w:rsidRPr="00515F49">
        <w:t xml:space="preserve"> impulsó a los Aliados en la Cumbre de la OTAN de La Haya en junio de 2025 a adoptar una nueva Estrategia de Guerra Híbrida</w:t>
      </w:r>
      <w:r w:rsidR="00853D75">
        <w:t xml:space="preserve"> después de diez años desde la precedente,</w:t>
      </w:r>
      <w:r w:rsidR="00853D75">
        <w:rPr>
          <w:rStyle w:val="FootnoteReference"/>
        </w:rPr>
        <w:footnoteReference w:id="6"/>
      </w:r>
      <w:r w:rsidR="00853D75" w:rsidRPr="00515F49">
        <w:t xml:space="preserve"> y respaldar un Plan de Acción de Adopción Rápid</w:t>
      </w:r>
      <w:r w:rsidR="00853D75">
        <w:t>a</w:t>
      </w:r>
      <w:r w:rsidR="00853D75" w:rsidRPr="00515F49">
        <w:t>.</w:t>
      </w:r>
      <w:r w:rsidR="00853D75">
        <w:rPr>
          <w:rStyle w:val="FootnoteReference"/>
        </w:rPr>
        <w:footnoteReference w:id="7"/>
      </w:r>
      <w:r w:rsidR="00853D75" w:rsidRPr="00515F49">
        <w:t xml:space="preserve"> Estos documentos pretenden mejorar significativamente la defensa contra ataques híbridos y acelerar la adopción de nuevos productos tecnológicos, integrándolos en </w:t>
      </w:r>
      <w:r w:rsidR="00853D75" w:rsidRPr="00515F49">
        <w:lastRenderedPageBreak/>
        <w:t>las fuerzas armadas en un máximo de 24 meses.</w:t>
      </w:r>
      <w:r w:rsidR="00853D75" w:rsidRPr="00515F49">
        <w:rPr>
          <w:i/>
          <w:iCs/>
          <w:vertAlign w:val="superscript"/>
        </w:rPr>
        <w:footnoteReference w:id="8"/>
      </w:r>
      <w:r w:rsidR="00853D75" w:rsidRPr="00515F49">
        <w:rPr>
          <w:i/>
          <w:iCs/>
        </w:rPr>
        <w:t xml:space="preserve"> </w:t>
      </w:r>
      <w:r w:rsidR="00853D75" w:rsidRPr="00515F49">
        <w:t xml:space="preserve"> La UE también desarrolló una nueva estrategia de seguridad interna, que incluye la guerra híbrida, en </w:t>
      </w:r>
      <w:r w:rsidR="00853D75">
        <w:t xml:space="preserve">el </w:t>
      </w:r>
      <w:r w:rsidR="00853D75" w:rsidRPr="00515F49">
        <w:t>primer semestre de 2025</w:t>
      </w:r>
      <w:r w:rsidR="00853D75">
        <w:t>.</w:t>
      </w:r>
      <w:r w:rsidR="00853D75" w:rsidRPr="00515F49">
        <w:rPr>
          <w:i/>
          <w:iCs/>
          <w:vertAlign w:val="superscript"/>
        </w:rPr>
        <w:footnoteReference w:id="9"/>
      </w:r>
      <w:r w:rsidR="00853D75">
        <w:rPr>
          <w:i/>
          <w:iCs/>
        </w:rPr>
        <w:t xml:space="preserve"> </w:t>
      </w:r>
    </w:p>
    <w:p w14:paraId="604B6F9A" w14:textId="77777777" w:rsidR="00853D75" w:rsidRDefault="00853D75" w:rsidP="001F0FD2">
      <w:pPr>
        <w:jc w:val="both"/>
        <w:rPr>
          <w:i/>
          <w:iCs/>
        </w:rPr>
      </w:pPr>
    </w:p>
    <w:p w14:paraId="22566DE7" w14:textId="26AB2039" w:rsidR="00853D75" w:rsidRPr="00B26092" w:rsidRDefault="00853D75" w:rsidP="001F0FD2">
      <w:pPr>
        <w:jc w:val="both"/>
        <w:rPr>
          <w:i/>
          <w:iCs/>
        </w:rPr>
      </w:pPr>
      <w:r>
        <w:t>Además, l</w:t>
      </w:r>
      <w:r w:rsidRPr="00515F49">
        <w:t xml:space="preserve">os recientes cambios de política en Washington han tenido un impacto directo en la OTAN, que decidió en la cumbre de junio </w:t>
      </w:r>
      <w:r>
        <w:t>2025</w:t>
      </w:r>
      <w:r w:rsidRPr="00515F49">
        <w:t xml:space="preserve"> aumentar los gastos en defensa a niveles sin precedentes: el 5% del PIB, de los cuales el 1.5% está destinado a infraestructuras para la llamada "guerra híbrida". Sin embargo, la alianza reconoce que, además de recursos financieros, necesita una estrategia militar y política coherente basada </w:t>
      </w:r>
      <w:r>
        <w:t>en ‘</w:t>
      </w:r>
      <w:r w:rsidRPr="00515F49">
        <w:t xml:space="preserve">fines, vías, </w:t>
      </w:r>
      <w:r>
        <w:t>y medios’ (</w:t>
      </w:r>
      <w:proofErr w:type="spellStart"/>
      <w:r>
        <w:rPr>
          <w:i/>
          <w:iCs/>
        </w:rPr>
        <w:t>ends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ways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means</w:t>
      </w:r>
      <w:proofErr w:type="spellEnd"/>
      <w:r>
        <w:t>):</w:t>
      </w:r>
      <w:r w:rsidRPr="00515F49">
        <w:t xml:space="preserve"> objetivos claros, métodos eficientes y recursos eficaces.</w:t>
      </w:r>
      <w:r>
        <w:t xml:space="preserve"> </w:t>
      </w:r>
    </w:p>
    <w:p w14:paraId="51E13A6A" w14:textId="77777777" w:rsidR="00853D75" w:rsidRPr="001F0FD2" w:rsidRDefault="00853D75" w:rsidP="001F0FD2">
      <w:pPr>
        <w:pStyle w:val="Heading2"/>
        <w:jc w:val="both"/>
        <w:rPr>
          <w:sz w:val="28"/>
          <w:szCs w:val="28"/>
        </w:rPr>
      </w:pPr>
      <w:r w:rsidRPr="001F0FD2">
        <w:rPr>
          <w:sz w:val="28"/>
          <w:szCs w:val="28"/>
        </w:rPr>
        <w:t>Retos Persistentes y Amenazas Rusas</w:t>
      </w:r>
    </w:p>
    <w:p w14:paraId="42DFE6B6" w14:textId="77777777" w:rsidR="00853D75" w:rsidRPr="00A06B79" w:rsidRDefault="00853D75" w:rsidP="001F0FD2">
      <w:pPr>
        <w:jc w:val="both"/>
      </w:pPr>
      <w:r w:rsidRPr="00A06B79">
        <w:t>El presidente Ruso Vladimir Putin ha consolidado en los últimos anos las alianzas estratégicas con Corea del Norte, China e Irán, en un esfuerzo coordinado por intensificar la confrontación con Occidente y las democracias globales, buscando instaurar un nuevo orden mundial. Rusia ha creado una economía de guerra duradera y ejecuta una estrategia a largo plazo ante la cual las democracias liberales aún no han dado una respuesta adecuada. Sus tácticas incluyen la amenaza y la invasión de naciones vecinas para consolidar el control sobre las periferias de Rusia, además de mantener una estrategia de conflicto permanente de baja intensidad basada en la guerra híbrida.</w:t>
      </w:r>
    </w:p>
    <w:p w14:paraId="39490F62" w14:textId="77777777" w:rsidR="00853D75" w:rsidRDefault="00853D75" w:rsidP="001F0FD2">
      <w:pPr>
        <w:jc w:val="both"/>
      </w:pPr>
    </w:p>
    <w:p w14:paraId="0A3ABA74" w14:textId="05BF54E7" w:rsidR="00853D75" w:rsidRDefault="00853D75" w:rsidP="001F0FD2">
      <w:pPr>
        <w:jc w:val="both"/>
      </w:pPr>
      <w:r w:rsidRPr="00515F49">
        <w:t>A pesar de los avances</w:t>
      </w:r>
      <w:r>
        <w:t xml:space="preserve"> en defenderse de este tipo de guerra constante</w:t>
      </w:r>
      <w:r w:rsidRPr="00515F49">
        <w:t>, la OTAN</w:t>
      </w:r>
      <w:r>
        <w:t xml:space="preserve"> y la UE</w:t>
      </w:r>
      <w:r w:rsidRPr="00515F49">
        <w:t xml:space="preserve"> carece</w:t>
      </w:r>
      <w:r>
        <w:t xml:space="preserve">n </w:t>
      </w:r>
      <w:r w:rsidRPr="00515F49">
        <w:t>aún de enfoques integrales para abordar la guerra híbrida</w:t>
      </w:r>
      <w:r>
        <w:t xml:space="preserve">, </w:t>
      </w:r>
      <w:r w:rsidRPr="00B07644">
        <w:t>definida</w:t>
      </w:r>
      <w:r>
        <w:t xml:space="preserve"> </w:t>
      </w:r>
      <w:r w:rsidRPr="00B07644">
        <w:t>por el secretario general de la OTAN como una "campaña de desestabilización"</w:t>
      </w:r>
      <w:r>
        <w:rPr>
          <w:rStyle w:val="FootnoteReference"/>
        </w:rPr>
        <w:footnoteReference w:id="10"/>
      </w:r>
      <w:r>
        <w:t xml:space="preserve"> hecha por así </w:t>
      </w:r>
      <w:r w:rsidRPr="00515F49">
        <w:t xml:space="preserve">llamadas </w:t>
      </w:r>
      <w:r>
        <w:t>‘</w:t>
      </w:r>
      <w:r w:rsidRPr="00515F49">
        <w:t>operaciones de zona gris</w:t>
      </w:r>
      <w:r>
        <w:t>’</w:t>
      </w:r>
      <w:r>
        <w:rPr>
          <w:rStyle w:val="FootnoteReference"/>
        </w:rPr>
        <w:footnoteReference w:id="11"/>
      </w:r>
      <w:r w:rsidRPr="00515F49">
        <w:t xml:space="preserve"> o </w:t>
      </w:r>
      <w:proofErr w:type="spellStart"/>
      <w:r w:rsidRPr="00515F49">
        <w:t>subumbral</w:t>
      </w:r>
      <w:proofErr w:type="spellEnd"/>
      <w:r>
        <w:t xml:space="preserve"> (ósea bajo el nivel de ataque armado, pero ya incluidas desde el 2016 en el Articulo 5 de la OTAN, que define un ataque contra un Aliado un ataque a todos).</w:t>
      </w:r>
      <w:r>
        <w:rPr>
          <w:rStyle w:val="FootnoteReference"/>
        </w:rPr>
        <w:footnoteReference w:id="12"/>
      </w:r>
      <w:r w:rsidRPr="00515F49">
        <w:t xml:space="preserve"> En la última década, especialmente desde la invasión a gran escala de Ucrania, la frecuencia de estas campañas se ha incrementado. Rusia ha sostenido una "larga confrontación" basada en el "armamentismo de todo"</w:t>
      </w:r>
      <w:r>
        <w:t xml:space="preserve"> </w:t>
      </w:r>
      <w:r w:rsidRPr="0084779B">
        <w:t>(</w:t>
      </w:r>
      <w:proofErr w:type="spellStart"/>
      <w:r w:rsidRPr="0084779B">
        <w:rPr>
          <w:i/>
          <w:iCs/>
        </w:rPr>
        <w:t>weaponization</w:t>
      </w:r>
      <w:proofErr w:type="spellEnd"/>
      <w:r w:rsidRPr="0084779B">
        <w:rPr>
          <w:i/>
          <w:iCs/>
        </w:rPr>
        <w:t xml:space="preserve"> </w:t>
      </w:r>
      <w:proofErr w:type="spellStart"/>
      <w:r w:rsidRPr="0084779B">
        <w:rPr>
          <w:i/>
          <w:iCs/>
        </w:rPr>
        <w:t>of</w:t>
      </w:r>
      <w:proofErr w:type="spellEnd"/>
      <w:r w:rsidRPr="0084779B">
        <w:rPr>
          <w:i/>
          <w:iCs/>
        </w:rPr>
        <w:t xml:space="preserve"> </w:t>
      </w:r>
      <w:proofErr w:type="spellStart"/>
      <w:r w:rsidRPr="0084779B">
        <w:rPr>
          <w:i/>
          <w:iCs/>
        </w:rPr>
        <w:t>everything</w:t>
      </w:r>
      <w:proofErr w:type="spellEnd"/>
      <w:r w:rsidRPr="0084779B">
        <w:t>)</w:t>
      </w:r>
      <w:r>
        <w:rPr>
          <w:rStyle w:val="FootnoteReference"/>
        </w:rPr>
        <w:footnoteReference w:id="13"/>
      </w:r>
      <w:r w:rsidRPr="0084779B">
        <w:t xml:space="preserve"> </w:t>
      </w:r>
      <w:r w:rsidRPr="00515F49">
        <w:t>combinando guerra cinética convencional con tácticas no convencionales, como desinformación, ciberataques, sabotaje de infraestructuras, intentos de asesinato, infiltración en procesos electorales y el uso de todas las herramientas del poder nacional.</w:t>
      </w:r>
      <w:r w:rsidRPr="0080681B">
        <w:t xml:space="preserve"> Un ejemplo es la diplomacia del "guerrero lobo",</w:t>
      </w:r>
      <w:r>
        <w:rPr>
          <w:rStyle w:val="FootnoteReference"/>
        </w:rPr>
        <w:footnoteReference w:id="14"/>
      </w:r>
      <w:r w:rsidRPr="0080681B">
        <w:t xml:space="preserve"> que, aunque asociada </w:t>
      </w:r>
      <w:r>
        <w:t>sobre todo</w:t>
      </w:r>
      <w:r w:rsidRPr="0080681B">
        <w:t xml:space="preserve"> a China, se ha manifestado recientemente con amenazas nucleares rusas </w:t>
      </w:r>
      <w:r>
        <w:t>haci</w:t>
      </w:r>
      <w:r w:rsidRPr="0080681B">
        <w:t>a la opinión pública occidental.</w:t>
      </w:r>
    </w:p>
    <w:p w14:paraId="7A6E39A6" w14:textId="3D478ADA" w:rsidR="00853D75" w:rsidRPr="001F0FD2" w:rsidRDefault="00853D75" w:rsidP="001F0FD2">
      <w:pPr>
        <w:pStyle w:val="Heading2"/>
        <w:jc w:val="both"/>
        <w:rPr>
          <w:sz w:val="28"/>
          <w:szCs w:val="28"/>
        </w:rPr>
      </w:pPr>
      <w:bookmarkStart w:id="0" w:name="_Hlk203647728"/>
      <w:r w:rsidRPr="001F0FD2">
        <w:rPr>
          <w:sz w:val="28"/>
          <w:szCs w:val="28"/>
        </w:rPr>
        <w:lastRenderedPageBreak/>
        <w:t xml:space="preserve">Respuestas Integradas: Cooperación y Enfoque </w:t>
      </w:r>
      <w:r>
        <w:rPr>
          <w:sz w:val="28"/>
          <w:szCs w:val="28"/>
        </w:rPr>
        <w:t>Nacional Integral</w:t>
      </w:r>
    </w:p>
    <w:bookmarkEnd w:id="0"/>
    <w:p w14:paraId="30DC56B4" w14:textId="0AA1D6A0" w:rsidR="00853D75" w:rsidRPr="00DD4D2B" w:rsidRDefault="00853D75" w:rsidP="001F0FD2">
      <w:pPr>
        <w:jc w:val="both"/>
      </w:pPr>
      <w:r w:rsidRPr="00515F49">
        <w:t xml:space="preserve">Para contrarrestar estas amenazas, la OTAN y la UE </w:t>
      </w:r>
      <w:r>
        <w:t xml:space="preserve">hoy en día </w:t>
      </w:r>
      <w:r w:rsidRPr="00515F49">
        <w:t xml:space="preserve">deben fortalecer la cooperación mediante un enfoque de gobierno integrado que combine todos los instrumentos nacionales de poder. Es crucial que los </w:t>
      </w:r>
      <w:r>
        <w:t>Aliados</w:t>
      </w:r>
      <w:r w:rsidRPr="00515F49">
        <w:t xml:space="preserve"> transatlánticos colaboren</w:t>
      </w:r>
      <w:r>
        <w:t xml:space="preserve"> también</w:t>
      </w:r>
      <w:r w:rsidRPr="00515F49">
        <w:t xml:space="preserve"> con </w:t>
      </w:r>
      <w:r>
        <w:t>socios</w:t>
      </w:r>
      <w:r w:rsidRPr="00515F49">
        <w:t xml:space="preserve"> </w:t>
      </w:r>
      <w:r>
        <w:t>externos</w:t>
      </w:r>
      <w:r w:rsidRPr="00515F49">
        <w:t xml:space="preserve"> para abordar amenazas en cada una de estas áreas. </w:t>
      </w:r>
    </w:p>
    <w:p w14:paraId="2EAA8932" w14:textId="457BCD96" w:rsidR="00853D75" w:rsidRDefault="00853D75" w:rsidP="001F0FD2">
      <w:pPr>
        <w:jc w:val="both"/>
      </w:pPr>
      <w:r>
        <w:t>La</w:t>
      </w:r>
      <w:r w:rsidRPr="00DD4D2B">
        <w:t xml:space="preserve"> OTAN y la UE deben reaccionar mediante un enfoque de gobierno integrado</w:t>
      </w:r>
      <w:r>
        <w:t>, lo que se puede definir también “Enfoque Nacional Integral” (</w:t>
      </w:r>
      <w:proofErr w:type="spellStart"/>
      <w:r w:rsidRPr="005B0B0F">
        <w:rPr>
          <w:i/>
          <w:iCs/>
        </w:rPr>
        <w:t>whole</w:t>
      </w:r>
      <w:proofErr w:type="spellEnd"/>
      <w:r w:rsidRPr="005B0B0F">
        <w:rPr>
          <w:i/>
          <w:iCs/>
        </w:rPr>
        <w:t xml:space="preserve"> </w:t>
      </w:r>
      <w:proofErr w:type="spellStart"/>
      <w:r w:rsidRPr="005B0B0F">
        <w:rPr>
          <w:i/>
          <w:iCs/>
        </w:rPr>
        <w:t>of</w:t>
      </w:r>
      <w:proofErr w:type="spellEnd"/>
      <w:r w:rsidRPr="005B0B0F">
        <w:rPr>
          <w:i/>
          <w:iCs/>
        </w:rPr>
        <w:t xml:space="preserve"> </w:t>
      </w:r>
      <w:proofErr w:type="spellStart"/>
      <w:r w:rsidRPr="005B0B0F">
        <w:rPr>
          <w:i/>
          <w:iCs/>
        </w:rPr>
        <w:t>nation</w:t>
      </w:r>
      <w:proofErr w:type="spellEnd"/>
      <w:r w:rsidRPr="005B0B0F">
        <w:rPr>
          <w:i/>
          <w:iCs/>
        </w:rPr>
        <w:t xml:space="preserve"> </w:t>
      </w:r>
      <w:proofErr w:type="spellStart"/>
      <w:r w:rsidRPr="005B0B0F">
        <w:rPr>
          <w:i/>
          <w:iCs/>
        </w:rPr>
        <w:t>approach</w:t>
      </w:r>
      <w:proofErr w:type="spellEnd"/>
      <w:r>
        <w:t xml:space="preserve">) </w:t>
      </w:r>
      <w:r w:rsidRPr="00DD4D2B">
        <w:t>que integre todos los instrumentos nacionales de poder, conocidos como</w:t>
      </w:r>
      <w:r>
        <w:t xml:space="preserve"> dicho come</w:t>
      </w:r>
      <w:r w:rsidRPr="00DD4D2B">
        <w:t xml:space="preserve"> </w:t>
      </w:r>
      <w:r w:rsidRPr="00DD4D2B">
        <w:rPr>
          <w:b/>
          <w:bCs/>
        </w:rPr>
        <w:t>DIMEFIL</w:t>
      </w:r>
      <w:r w:rsidRPr="00DD4D2B">
        <w:t xml:space="preserve">: </w:t>
      </w:r>
      <w:r>
        <w:t xml:space="preserve">elementos </w:t>
      </w:r>
      <w:r w:rsidRPr="00DD4D2B">
        <w:t xml:space="preserve">diplomáticos, de información, militares, económicos, financieros, de inteligencia y </w:t>
      </w:r>
      <w:r>
        <w:t>legal/</w:t>
      </w:r>
      <w:r w:rsidRPr="00DD4D2B">
        <w:t xml:space="preserve">policiales. Los </w:t>
      </w:r>
      <w:r>
        <w:t>Aliados</w:t>
      </w:r>
      <w:r w:rsidRPr="00DD4D2B">
        <w:t xml:space="preserve"> transatlánticos deben colaborar con aliados más lejanos para abordar las amenazas en cada una de estas siete áreas</w:t>
      </w:r>
      <w:r>
        <w:t>:</w:t>
      </w:r>
    </w:p>
    <w:p w14:paraId="0FF70B51" w14:textId="01EE511D" w:rsidR="00853D75" w:rsidRPr="00DD4D2B" w:rsidRDefault="00853D75" w:rsidP="001F0FD2">
      <w:pPr>
        <w:jc w:val="both"/>
      </w:pPr>
      <w:r w:rsidRPr="00940898">
        <w:rPr>
          <w:i/>
          <w:iCs/>
        </w:rPr>
        <w:t>Diplomacia</w:t>
      </w:r>
      <w:r w:rsidRPr="00DD4D2B">
        <w:t>: Combatir la diplomacia del "guerrero lobo", generalmente asociada con el estilo diplomático chino del pasado, pero que recientemente se ha reflejado, por ejemplo, en las amenazas nucleares rusas para inquietar a la opinión pública occidental.</w:t>
      </w:r>
    </w:p>
    <w:p w14:paraId="1379D754" w14:textId="57138DA6" w:rsidR="00853D75" w:rsidRPr="00DD4D2B" w:rsidRDefault="00853D75" w:rsidP="001F0FD2">
      <w:pPr>
        <w:jc w:val="both"/>
      </w:pPr>
      <w:r w:rsidRPr="00940898">
        <w:rPr>
          <w:i/>
          <w:iCs/>
        </w:rPr>
        <w:t>Información</w:t>
      </w:r>
      <w:r w:rsidRPr="00DD4D2B">
        <w:t xml:space="preserve">: Combatir la propaganda y las guerras de información, a veces </w:t>
      </w:r>
      <w:r>
        <w:t>d</w:t>
      </w:r>
      <w:r w:rsidRPr="00DD4D2B">
        <w:t>esencadenadas por ciberataques.</w:t>
      </w:r>
    </w:p>
    <w:p w14:paraId="44466E22" w14:textId="30A72E06" w:rsidR="00853D75" w:rsidRPr="00DD4D2B" w:rsidRDefault="00853D75" w:rsidP="001F0FD2">
      <w:pPr>
        <w:jc w:val="both"/>
      </w:pPr>
      <w:r w:rsidRPr="00940898">
        <w:rPr>
          <w:i/>
          <w:iCs/>
        </w:rPr>
        <w:t>Militar</w:t>
      </w:r>
      <w:r w:rsidRPr="00DD4D2B">
        <w:t>: Defender la soberanía territorial y las infraestructuras críticas, especialmente las submarinas y en el sector energético</w:t>
      </w:r>
      <w:r>
        <w:t xml:space="preserve">. </w:t>
      </w:r>
    </w:p>
    <w:p w14:paraId="5CFBE62B" w14:textId="77777777" w:rsidR="00853D75" w:rsidRPr="00DD4D2B" w:rsidRDefault="00853D75" w:rsidP="001F0FD2">
      <w:pPr>
        <w:jc w:val="both"/>
      </w:pPr>
      <w:r w:rsidRPr="00940898">
        <w:rPr>
          <w:i/>
          <w:iCs/>
        </w:rPr>
        <w:t>Económica</w:t>
      </w:r>
      <w:r w:rsidRPr="00DD4D2B">
        <w:t>: Reforzar la resiliencia en todos los sectores, especialmente la energética.</w:t>
      </w:r>
    </w:p>
    <w:p w14:paraId="46B9D4F7" w14:textId="77777777" w:rsidR="00853D75" w:rsidRPr="00DD4D2B" w:rsidRDefault="00853D75" w:rsidP="001F0FD2">
      <w:pPr>
        <w:jc w:val="both"/>
      </w:pPr>
      <w:r w:rsidRPr="00940898">
        <w:rPr>
          <w:i/>
          <w:iCs/>
        </w:rPr>
        <w:t>Financiera</w:t>
      </w:r>
      <w:r w:rsidRPr="00DD4D2B">
        <w:t>: Establecer una economía de guerra híbrida similar a la proeza de Putin.</w:t>
      </w:r>
    </w:p>
    <w:p w14:paraId="622BDD4C" w14:textId="35AE4201" w:rsidR="00853D75" w:rsidRPr="00DD4D2B" w:rsidRDefault="00853D75" w:rsidP="001F0FD2">
      <w:pPr>
        <w:jc w:val="both"/>
      </w:pPr>
      <w:r w:rsidRPr="00940898">
        <w:rPr>
          <w:i/>
          <w:iCs/>
        </w:rPr>
        <w:t>Inteligencia</w:t>
      </w:r>
      <w:r w:rsidRPr="00DD4D2B">
        <w:t xml:space="preserve">: Descubrir operaciones encubiertas y realizar contrainteligencia </w:t>
      </w:r>
      <w:r>
        <w:t xml:space="preserve">con el </w:t>
      </w:r>
      <w:r w:rsidRPr="00DD4D2B">
        <w:t>adversario.</w:t>
      </w:r>
    </w:p>
    <w:p w14:paraId="6811DEBD" w14:textId="7DB37E41" w:rsidR="00853D75" w:rsidRDefault="00853D75" w:rsidP="001F0FD2">
      <w:pPr>
        <w:jc w:val="both"/>
      </w:pPr>
      <w:r w:rsidRPr="00940898">
        <w:rPr>
          <w:i/>
          <w:iCs/>
        </w:rPr>
        <w:t>Legal/policial</w:t>
      </w:r>
      <w:r w:rsidRPr="00DD4D2B">
        <w:t>: Defenderse de acciones legales nefastas, como las demandas financiadas por el Kremlin contra Europa.</w:t>
      </w:r>
    </w:p>
    <w:p w14:paraId="2C68BDD5" w14:textId="77777777" w:rsidR="00853D75" w:rsidRPr="00DD4D2B" w:rsidRDefault="00853D75" w:rsidP="001F0FD2">
      <w:pPr>
        <w:jc w:val="both"/>
      </w:pPr>
    </w:p>
    <w:p w14:paraId="109AD7E6" w14:textId="42051EC4" w:rsidR="00853D75" w:rsidRDefault="00853D75" w:rsidP="001F0FD2">
      <w:pPr>
        <w:jc w:val="both"/>
      </w:pPr>
      <w:r w:rsidRPr="00DD4D2B">
        <w:t xml:space="preserve">La OTAN y, en especial, la UE necesitan </w:t>
      </w:r>
      <w:r>
        <w:t xml:space="preserve">entonces </w:t>
      </w:r>
      <w:r w:rsidRPr="00DD4D2B">
        <w:t xml:space="preserve">aumentar la cooperación en innovación científica y tecnológica, </w:t>
      </w:r>
      <w:r>
        <w:t xml:space="preserve">sobre todo para la seguridad energética y tecnológica, </w:t>
      </w:r>
      <w:r w:rsidRPr="00DD4D2B">
        <w:t>áreas cruciales para la competencia internacional que configurará el orden global del siglo XXI. Bruselas ya se está quedando atrás en estos campos y se ha vuelto excesivamente dependiente de Estados Unidos y China, como señaló el ex primer ministro italiano Mario Draghi en su informe de 2024 sobre competitividad a la Comisión Europea.</w:t>
      </w:r>
    </w:p>
    <w:p w14:paraId="2C197641" w14:textId="77777777" w:rsidR="00853D75" w:rsidRDefault="00853D75" w:rsidP="001F0FD2">
      <w:pPr>
        <w:jc w:val="both"/>
      </w:pPr>
    </w:p>
    <w:p w14:paraId="1F5940DD" w14:textId="564CEC4C" w:rsidR="00853D75" w:rsidRPr="001F0FD2" w:rsidRDefault="00853D75" w:rsidP="001F0FD2">
      <w:pPr>
        <w:pStyle w:val="Heading2"/>
        <w:jc w:val="both"/>
        <w:rPr>
          <w:sz w:val="28"/>
          <w:szCs w:val="28"/>
        </w:rPr>
      </w:pPr>
      <w:r w:rsidRPr="001F0FD2">
        <w:rPr>
          <w:sz w:val="28"/>
          <w:szCs w:val="28"/>
        </w:rPr>
        <w:t xml:space="preserve">Respuestas a la guerra hibrida en el ámbito energético </w:t>
      </w:r>
    </w:p>
    <w:p w14:paraId="3E1A1B81" w14:textId="01E6B3CD" w:rsidR="00853D75" w:rsidRPr="003613CE" w:rsidRDefault="00853D75" w:rsidP="001F0FD2">
      <w:pPr>
        <w:jc w:val="both"/>
      </w:pPr>
      <w:r w:rsidRPr="009B24AB">
        <w:t>El sector energético es probablemente el más vulnerable a las campañas de</w:t>
      </w:r>
      <w:r w:rsidRPr="00DD4D2B">
        <w:t xml:space="preserve"> desestabilización, una amenaza que hasta hace poco se pasaba por alto. La UE, después de todo, aspira a alcanzar la </w:t>
      </w:r>
      <w:r w:rsidRPr="00226E6C">
        <w:t xml:space="preserve">neutralidad climática para 2050 y, mientras tanto, impulsar su economía mediante tecnologías verdes. Pero además la UE y los </w:t>
      </w:r>
      <w:proofErr w:type="gramStart"/>
      <w:r w:rsidRPr="00226E6C">
        <w:t>EEUU</w:t>
      </w:r>
      <w:proofErr w:type="gramEnd"/>
      <w:r w:rsidRPr="00226E6C">
        <w:t xml:space="preserve"> están en una competición con China para ganar por primeros la transición tecnología, con las así llamadas </w:t>
      </w:r>
      <w:proofErr w:type="spellStart"/>
      <w:r w:rsidRPr="00226E6C">
        <w:rPr>
          <w:i/>
          <w:iCs/>
        </w:rPr>
        <w:t>Emerging</w:t>
      </w:r>
      <w:proofErr w:type="spellEnd"/>
      <w:r w:rsidRPr="00226E6C">
        <w:rPr>
          <w:i/>
          <w:iCs/>
        </w:rPr>
        <w:t xml:space="preserve"> Disruptive Technologies </w:t>
      </w:r>
      <w:r w:rsidRPr="00226E6C">
        <w:t>(</w:t>
      </w:r>
      <w:proofErr w:type="spellStart"/>
      <w:r>
        <w:t>EDTs</w:t>
      </w:r>
      <w:proofErr w:type="spellEnd"/>
      <w:r>
        <w:t xml:space="preserve">, como </w:t>
      </w:r>
      <w:r w:rsidRPr="00226E6C">
        <w:t>AI, Quantum, materiales avanzados, tecnología espacial etc.)</w:t>
      </w:r>
      <w:r w:rsidRPr="00226E6C">
        <w:rPr>
          <w:rStyle w:val="FootnoteReference"/>
        </w:rPr>
        <w:footnoteReference w:id="15"/>
      </w:r>
      <w:r w:rsidRPr="00226E6C">
        <w:t xml:space="preserve"> y esta transición requiere el consumo de mucha energía,</w:t>
      </w:r>
      <w:r w:rsidRPr="00226E6C">
        <w:rPr>
          <w:rStyle w:val="FootnoteReference"/>
        </w:rPr>
        <w:footnoteReference w:id="16"/>
      </w:r>
      <w:r w:rsidRPr="00226E6C">
        <w:t xml:space="preserve"> yendo en cierto modo en contra de la transición verde. La estrategia de </w:t>
      </w:r>
      <w:r w:rsidRPr="00DD4D2B">
        <w:t xml:space="preserve">desarrollo socioeconómico </w:t>
      </w:r>
      <w:r w:rsidRPr="00DD4D2B">
        <w:lastRenderedPageBreak/>
        <w:t xml:space="preserve">de Rusia prevé </w:t>
      </w:r>
      <w:r>
        <w:t xml:space="preserve">también </w:t>
      </w:r>
      <w:r w:rsidRPr="00DD4D2B">
        <w:t xml:space="preserve">bajas emisiones de gases de </w:t>
      </w:r>
      <w:r w:rsidRPr="003613CE">
        <w:t>efecto invernadero para 2050,</w:t>
      </w:r>
      <w:r w:rsidRPr="003613CE">
        <w:rPr>
          <w:rStyle w:val="FootnoteReference"/>
        </w:rPr>
        <w:footnoteReference w:id="17"/>
      </w:r>
      <w:r w:rsidRPr="003613CE">
        <w:t xml:space="preserve"> mientras que Pekín aspira a convertirse en una economía desarrollada sin emisiones de carbono y en ganar la transición tecnológica con el dominio del AI antes del 2030.</w:t>
      </w:r>
      <w:r w:rsidRPr="003613CE">
        <w:rPr>
          <w:rStyle w:val="FootnoteReference"/>
        </w:rPr>
        <w:footnoteReference w:id="18"/>
      </w:r>
      <w:r w:rsidRPr="003613CE">
        <w:t xml:space="preserve">  </w:t>
      </w:r>
    </w:p>
    <w:p w14:paraId="0A9DE6B4" w14:textId="77777777" w:rsidR="00853D75" w:rsidRPr="003613CE" w:rsidRDefault="00853D75" w:rsidP="001F0FD2">
      <w:pPr>
        <w:jc w:val="both"/>
      </w:pPr>
    </w:p>
    <w:p w14:paraId="38049F68" w14:textId="396D7C50" w:rsidR="00853D75" w:rsidRPr="007F52B7" w:rsidRDefault="00853D75" w:rsidP="001F0FD2">
      <w:pPr>
        <w:jc w:val="both"/>
      </w:pPr>
      <w:r w:rsidRPr="007F52B7">
        <w:t>La competencia por las transiciones energéticas y la superioridad tecnológica, por lo tanto, se ha convertido en un nuevo escenario de conflicto que utiliza la guerra híbrida y las campañas de desestabilización. Esto es especialmente cierto en el caso de las iniciativas de Rusia en Europa, que buscan erosionar la resiliencia energética, y de China, que quiere explotar la dependencia de las cadenas de suministro y los minerales críticos necesarios para las nuevas infraestructuras y sistemas energéticos. La dependencia de Europa todavía del gas ruso, por lo menos hasta el 2027,</w:t>
      </w:r>
      <w:r>
        <w:t xml:space="preserve"> además de material nuclear y de petróleo,</w:t>
      </w:r>
      <w:r w:rsidRPr="007F52B7">
        <w:rPr>
          <w:rStyle w:val="FootnoteReference"/>
        </w:rPr>
        <w:footnoteReference w:id="19"/>
      </w:r>
      <w:r w:rsidRPr="007F52B7">
        <w:t xml:space="preserve"> junto con la inhabilidad europea de defender sus infraestructuras criticas, además de la dificultad de controlar la evasión</w:t>
      </w:r>
      <w:r>
        <w:t xml:space="preserve"> </w:t>
      </w:r>
      <w:r w:rsidRPr="007F52B7">
        <w:t xml:space="preserve">de sanciones, ha sido explotadas por la autocracia rusa con ataques a la infraestructura energética de Ucrania o de Europa y con el uso de </w:t>
      </w:r>
      <w:proofErr w:type="spellStart"/>
      <w:r w:rsidRPr="007F52B7">
        <w:rPr>
          <w:i/>
          <w:iCs/>
        </w:rPr>
        <w:t>shadow</w:t>
      </w:r>
      <w:proofErr w:type="spellEnd"/>
      <w:r w:rsidRPr="007F52B7">
        <w:rPr>
          <w:i/>
          <w:iCs/>
        </w:rPr>
        <w:t xml:space="preserve"> </w:t>
      </w:r>
      <w:proofErr w:type="spellStart"/>
      <w:r w:rsidRPr="007F52B7">
        <w:rPr>
          <w:i/>
          <w:iCs/>
        </w:rPr>
        <w:t>fleet</w:t>
      </w:r>
      <w:proofErr w:type="spellEnd"/>
      <w:r w:rsidRPr="007F52B7">
        <w:rPr>
          <w:i/>
          <w:iCs/>
        </w:rPr>
        <w:t xml:space="preserve"> </w:t>
      </w:r>
      <w:r w:rsidRPr="007F52B7">
        <w:t xml:space="preserve">(flota sombra) para seguir exportando petróleo. Aunque la Corte Penal Internacional considera los ataques a la infraestructura eléctrica crímenes de guerra, la UE </w:t>
      </w:r>
      <w:r>
        <w:t>no logra</w:t>
      </w:r>
      <w:r w:rsidRPr="007F52B7">
        <w:t xml:space="preserve"> defender</w:t>
      </w:r>
      <w:r>
        <w:t xml:space="preserve"> completamente</w:t>
      </w:r>
      <w:r w:rsidRPr="007F52B7">
        <w:t xml:space="preserve"> sus infraestructuras criticas mientras que la OTAN ya tiene operaciones para esto, como </w:t>
      </w:r>
      <w:r w:rsidRPr="007F52B7">
        <w:rPr>
          <w:i/>
          <w:iCs/>
        </w:rPr>
        <w:t xml:space="preserve">el </w:t>
      </w:r>
      <w:proofErr w:type="spellStart"/>
      <w:r w:rsidRPr="007F52B7">
        <w:rPr>
          <w:i/>
          <w:iCs/>
        </w:rPr>
        <w:t>Baltic</w:t>
      </w:r>
      <w:proofErr w:type="spellEnd"/>
      <w:r w:rsidRPr="007F52B7">
        <w:rPr>
          <w:i/>
          <w:iCs/>
        </w:rPr>
        <w:t xml:space="preserve"> </w:t>
      </w:r>
      <w:proofErr w:type="spellStart"/>
      <w:r w:rsidRPr="007F52B7">
        <w:rPr>
          <w:i/>
          <w:iCs/>
        </w:rPr>
        <w:t>Sentry</w:t>
      </w:r>
      <w:proofErr w:type="spellEnd"/>
      <w:r w:rsidRPr="007F52B7">
        <w:t>.</w:t>
      </w:r>
      <w:r>
        <w:rPr>
          <w:rStyle w:val="FootnoteReference"/>
        </w:rPr>
        <w:footnoteReference w:id="20"/>
      </w:r>
      <w:r w:rsidRPr="007F52B7">
        <w:t xml:space="preserve"> </w:t>
      </w:r>
    </w:p>
    <w:p w14:paraId="5BA41765" w14:textId="77777777" w:rsidR="00853D75" w:rsidRPr="00DD4D2B" w:rsidRDefault="00853D75" w:rsidP="001F0FD2">
      <w:pPr>
        <w:jc w:val="both"/>
      </w:pPr>
    </w:p>
    <w:p w14:paraId="7BA5763A" w14:textId="72BACE9A" w:rsidR="00853D75" w:rsidRPr="00DD4D2B" w:rsidRDefault="00853D75" w:rsidP="001F0FD2">
      <w:pPr>
        <w:jc w:val="both"/>
      </w:pPr>
      <w:r w:rsidRPr="00DD4D2B">
        <w:t>Esta</w:t>
      </w:r>
      <w:r>
        <w:t>s</w:t>
      </w:r>
      <w:r w:rsidRPr="00DD4D2B">
        <w:t xml:space="preserve"> </w:t>
      </w:r>
      <w:r>
        <w:t>dificultades</w:t>
      </w:r>
      <w:r w:rsidRPr="00DD4D2B">
        <w:t xml:space="preserve"> refleja</w:t>
      </w:r>
      <w:r>
        <w:t>n</w:t>
      </w:r>
      <w:r w:rsidRPr="00DD4D2B">
        <w:t xml:space="preserve"> la </w:t>
      </w:r>
      <w:r>
        <w:t xml:space="preserve">limitación todavía </w:t>
      </w:r>
      <w:r w:rsidRPr="00DD4D2B">
        <w:t xml:space="preserve">de Europa para comprender </w:t>
      </w:r>
      <w:r>
        <w:t xml:space="preserve">en pleno </w:t>
      </w:r>
      <w:r w:rsidRPr="00DD4D2B">
        <w:t>la naturaleza de la guerra energética</w:t>
      </w:r>
      <w:r>
        <w:t xml:space="preserve"> e hibrida en general,</w:t>
      </w:r>
      <w:r w:rsidRPr="00DD4D2B">
        <w:t xml:space="preserve"> que el Kremlin ha librado contra el continente. China también representa </w:t>
      </w:r>
      <w:r w:rsidRPr="005B6A89">
        <w:t>una amenaza en este sentido. Pekín por ejemplo empleó una estrategia similar a la de Moscú al imponer límites a sus exportaciones de materias primas críticas, a los que Europa ha contestado con resoluciones especificas.</w:t>
      </w:r>
      <w:r w:rsidRPr="005B6A89">
        <w:rPr>
          <w:rStyle w:val="FootnoteReference"/>
        </w:rPr>
        <w:footnoteReference w:id="21"/>
      </w:r>
      <w:r w:rsidRPr="005B6A89">
        <w:t xml:space="preserve"> Entonces, mientras las potencias autoritarias implementan estas políticas, Europa esta elaborando urgentemente una estrategia para defenderse de </w:t>
      </w:r>
      <w:r w:rsidRPr="00DD4D2B">
        <w:t>este y otros tipos de guerra híbrida</w:t>
      </w:r>
      <w:r>
        <w:t xml:space="preserve">. Lo que tiene que hacer Europa para el futuro es utilizar sus dos organismos internacionales, la UE y la OTAN, para que colaboren mas, sobre todo a nivel tecnológico y energético. </w:t>
      </w:r>
    </w:p>
    <w:p w14:paraId="656F24FA" w14:textId="45453439" w:rsidR="00853D75" w:rsidRPr="001F0FD2" w:rsidRDefault="00853D75" w:rsidP="001F0FD2"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Mejorar</w:t>
      </w:r>
      <w:r w:rsidRPr="00C41ED6">
        <w:rPr>
          <w:sz w:val="28"/>
          <w:szCs w:val="28"/>
        </w:rPr>
        <w:t xml:space="preserve"> la cooperación OTAN-UE, especialmente en el ámbito</w:t>
      </w:r>
      <w:r>
        <w:rPr>
          <w:sz w:val="28"/>
          <w:szCs w:val="28"/>
        </w:rPr>
        <w:t xml:space="preserve"> </w:t>
      </w:r>
      <w:r w:rsidR="00C237B8">
        <w:rPr>
          <w:sz w:val="28"/>
          <w:szCs w:val="28"/>
        </w:rPr>
        <w:t>energético</w:t>
      </w:r>
      <w:r>
        <w:rPr>
          <w:sz w:val="28"/>
          <w:szCs w:val="28"/>
        </w:rPr>
        <w:t xml:space="preserve"> y</w:t>
      </w:r>
      <w:r w:rsidRPr="00C41ED6">
        <w:rPr>
          <w:sz w:val="28"/>
          <w:szCs w:val="28"/>
        </w:rPr>
        <w:t xml:space="preserve"> tecnológico</w:t>
      </w:r>
      <w:r>
        <w:rPr>
          <w:sz w:val="28"/>
          <w:szCs w:val="28"/>
        </w:rPr>
        <w:t xml:space="preserve"> </w:t>
      </w:r>
    </w:p>
    <w:p w14:paraId="15B59B0A" w14:textId="7B65AF6A" w:rsidR="00853D75" w:rsidRDefault="00853D75" w:rsidP="001F0FD2">
      <w:pPr>
        <w:jc w:val="both"/>
      </w:pPr>
      <w:r>
        <w:t xml:space="preserve">La </w:t>
      </w:r>
      <w:r w:rsidRPr="00DD4D2B">
        <w:t xml:space="preserve">OTAN y la UE necesitan </w:t>
      </w:r>
      <w:r w:rsidRPr="00C41ED6">
        <w:t>cooperar más en materia de seguridad energética e innovación tecnológica.</w:t>
      </w:r>
      <w:r w:rsidRPr="00C41ED6">
        <w:rPr>
          <w:rStyle w:val="FootnoteReference"/>
        </w:rPr>
        <w:footnoteReference w:id="22"/>
      </w:r>
      <w:r w:rsidRPr="00C41ED6">
        <w:t xml:space="preserve"> Su colaboración en materia de amenazas híbridas,</w:t>
      </w:r>
      <w:r w:rsidRPr="00C41ED6">
        <w:rPr>
          <w:rStyle w:val="FootnoteReference"/>
        </w:rPr>
        <w:footnoteReference w:id="23"/>
      </w:r>
      <w:r w:rsidRPr="00C41ED6">
        <w:t xml:space="preserve"> con especial énfasis en la ciberdefensa, la mejora de la resiliencia, la comunicación estratégica y el conocimiento de la situación, es insuficiente. Si bien una Declaración</w:t>
      </w:r>
      <w:r w:rsidRPr="00DD4D2B">
        <w:t xml:space="preserve"> Conjunta OTAN-UE de 2023</w:t>
      </w:r>
      <w:r>
        <w:rPr>
          <w:rStyle w:val="FootnoteReference"/>
        </w:rPr>
        <w:footnoteReference w:id="24"/>
      </w:r>
      <w:r w:rsidRPr="00DD4D2B">
        <w:t xml:space="preserve"> subrayó la necesidad de coordinación en materia de competencia estratégica, resiliencia y protección de infraestructuras, y se estableció un grupo de trabajo conjunto sobre resiliencia e infraestructuras críticas,</w:t>
      </w:r>
      <w:r>
        <w:rPr>
          <w:rStyle w:val="FootnoteReference"/>
        </w:rPr>
        <w:footnoteReference w:id="25"/>
      </w:r>
      <w:r w:rsidRPr="00DD4D2B">
        <w:t xml:space="preserve"> los avances siguen siendo limitados. El desarrollo de sistemas que faciliten</w:t>
      </w:r>
      <w:r>
        <w:t xml:space="preserve"> disuasión, defensa con</w:t>
      </w:r>
      <w:r w:rsidRPr="00DD4D2B">
        <w:t xml:space="preserve"> alertas tempranas y reacciones rápidas ante posibles ataques en todas las áreas de DIMEFIL debe ser una prioridad.</w:t>
      </w:r>
      <w:r>
        <w:t xml:space="preserve"> Aquí algunas recomendaciones para mejorar esta cooperación, especialmente para mayor seguridad tecnológica y energética:  </w:t>
      </w:r>
    </w:p>
    <w:p w14:paraId="5B1628BA" w14:textId="77777777" w:rsidR="00853D75" w:rsidRDefault="00853D75" w:rsidP="001F0FD2">
      <w:pPr>
        <w:jc w:val="both"/>
      </w:pPr>
    </w:p>
    <w:p w14:paraId="77BA31C3" w14:textId="590F4430" w:rsidR="00853D75" w:rsidRDefault="00853D75" w:rsidP="002A428A">
      <w:pPr>
        <w:jc w:val="both"/>
      </w:pPr>
      <w:r>
        <w:t xml:space="preserve">1) Cooperar con mayor rapidez, eficacia y a gran escala para inventar e integrar mas las </w:t>
      </w:r>
      <w:proofErr w:type="spellStart"/>
      <w:r>
        <w:t>EDTs</w:t>
      </w:r>
      <w:proofErr w:type="spellEnd"/>
      <w:r>
        <w:t xml:space="preserve"> entre el nivel civil y el nivel militar. Esto significa que la UE y la OTAN deben acelerar la madurez tecnológica también con mas cooperación publico-privada.</w:t>
      </w:r>
    </w:p>
    <w:p w14:paraId="3D13F901" w14:textId="3808F52E" w:rsidR="00853D75" w:rsidRDefault="00853D75" w:rsidP="002A428A">
      <w:pPr>
        <w:jc w:val="both"/>
      </w:pPr>
      <w:r>
        <w:t xml:space="preserve">2) Definir objetivos de capacidad más claros para </w:t>
      </w:r>
      <w:proofErr w:type="spellStart"/>
      <w:r>
        <w:t>EDTs</w:t>
      </w:r>
      <w:proofErr w:type="spellEnd"/>
      <w:r>
        <w:t>. Por ejemplo, la OTAN y la UE deberían destinar el 25% de sus presupuestos de capacidad colectiva a la construcción de infraestructura digital resiliente y al fomento de tecnologías emergentes.</w:t>
      </w:r>
    </w:p>
    <w:p w14:paraId="42447C3F" w14:textId="640668A0" w:rsidR="00853D75" w:rsidRDefault="00853D75" w:rsidP="002A428A">
      <w:pPr>
        <w:jc w:val="both"/>
      </w:pPr>
      <w:r>
        <w:t>3) Acelerar los procesos de contratación. Por ejemplo, la OTAN y la UE deben simplificar los plazos de contratación, pasando de plurianuales a meses, especialmente durante las crisis, como establece el Plan de Acción de Adopción Rápida de la OTAN.</w:t>
      </w:r>
      <w:r>
        <w:rPr>
          <w:rStyle w:val="FootnoteReference"/>
        </w:rPr>
        <w:footnoteReference w:id="26"/>
      </w:r>
      <w:r>
        <w:t xml:space="preserve"> Involucrar a la industria desde el principio para garantizar que los ciclos de contratación reflejen el ritmo de las tácticas.</w:t>
      </w:r>
    </w:p>
    <w:p w14:paraId="585F5168" w14:textId="3300BB84" w:rsidR="00853D75" w:rsidRDefault="00853D75" w:rsidP="002A428A">
      <w:pPr>
        <w:jc w:val="both"/>
      </w:pPr>
      <w:r>
        <w:t xml:space="preserve">4) Priorizar las tecnologías emergentes cruciales. Por ejemplo, desarrollar e implementar sensores avanzados, análisis basados en AI y </w:t>
      </w:r>
      <w:proofErr w:type="spellStart"/>
      <w:r w:rsidRPr="00226CD2">
        <w:rPr>
          <w:i/>
          <w:iCs/>
        </w:rPr>
        <w:t>blockchain</w:t>
      </w:r>
      <w:proofErr w:type="spellEnd"/>
      <w:r>
        <w:t xml:space="preserve"> para la monitorización en tiempo real de la infraestructura energética, o invertir en nuevas herramientas de ciberseguridad basadas en AI para anticiparse a las ciber amenazas.</w:t>
      </w:r>
    </w:p>
    <w:p w14:paraId="5BC2D86C" w14:textId="46CD79DB" w:rsidR="002A428A" w:rsidRDefault="00853D75" w:rsidP="002A428A">
      <w:pPr>
        <w:jc w:val="both"/>
      </w:pPr>
      <w:r>
        <w:t xml:space="preserve">5) Promover la innovación y el R&amp;D </w:t>
      </w:r>
      <w:r w:rsidRPr="00595222">
        <w:rPr>
          <w:i/>
          <w:iCs/>
        </w:rPr>
        <w:t>(</w:t>
      </w:r>
      <w:proofErr w:type="spellStart"/>
      <w:r w:rsidRPr="00595222">
        <w:rPr>
          <w:i/>
          <w:iCs/>
        </w:rPr>
        <w:t>investigacion</w:t>
      </w:r>
      <w:proofErr w:type="spellEnd"/>
      <w:r w:rsidRPr="00595222">
        <w:rPr>
          <w:i/>
          <w:iCs/>
        </w:rPr>
        <w:t xml:space="preserve"> y desarrollo)</w:t>
      </w:r>
      <w:r>
        <w:t xml:space="preserve"> mediante fondos conjuntos UE-OTAN para proyectos de investigación de resiliencia energética y </w:t>
      </w:r>
      <w:r w:rsidR="004928AA">
        <w:t>tecnológica</w:t>
      </w:r>
      <w:r>
        <w:t xml:space="preserve"> de próxima generación, como el cifrado cuántico para comunicaciones seguras u otras tecnologías avanzadas, también mediante colaboraciones con socios de la OTAN y la UE. Por ejemplo, la UE podría financiar a bajo tipo de interés un nuevo proyecto DIANA</w:t>
      </w:r>
      <w:r>
        <w:rPr>
          <w:rStyle w:val="FootnoteReference"/>
        </w:rPr>
        <w:footnoteReference w:id="27"/>
      </w:r>
      <w:r>
        <w:t xml:space="preserve"> </w:t>
      </w:r>
      <w:r w:rsidR="002A428A">
        <w:t>con la OTAN.</w:t>
      </w:r>
    </w:p>
    <w:p w14:paraId="5CF598AD" w14:textId="3630C24B" w:rsidR="002A428A" w:rsidRDefault="002A428A" w:rsidP="002A428A">
      <w:pPr>
        <w:jc w:val="both"/>
      </w:pPr>
      <w:r>
        <w:t>6) Fortalecer una fuerza laboral cualificada en tecnologías de doble uso</w:t>
      </w:r>
      <w:r w:rsidR="001A707C">
        <w:t xml:space="preserve"> civil-militar, </w:t>
      </w:r>
      <w:r>
        <w:t>implementando programas de formación para personal militar y civil centrados en tecnologías emergentes como el aprendizaje automático, la ciberdefensa y la seguridad de la red</w:t>
      </w:r>
      <w:r w:rsidR="006E5EAE">
        <w:t xml:space="preserve">, especialmente importantes por la seguridad energética. </w:t>
      </w:r>
    </w:p>
    <w:p w14:paraId="28FA6FD2" w14:textId="77777777" w:rsidR="001A707C" w:rsidRDefault="002A428A" w:rsidP="002A428A">
      <w:pPr>
        <w:jc w:val="both"/>
      </w:pPr>
      <w:r>
        <w:lastRenderedPageBreak/>
        <w:t>7) Mejorar las colaboraciones público-privadas para la industria de las tecnologías de doble uso</w:t>
      </w:r>
      <w:r w:rsidR="001A707C">
        <w:t xml:space="preserve">, </w:t>
      </w:r>
      <w:r>
        <w:t xml:space="preserve">con colaboraciones con empresas tecnológicas y compañías energéticas privadas para la adopción de soluciones innovadoras, estableciendo centros de innovación o unidades de prototipado rápido para la implementación de EDT en entornos operativos. </w:t>
      </w:r>
    </w:p>
    <w:p w14:paraId="5A789CB4" w14:textId="64A7B040" w:rsidR="00F92C7C" w:rsidRDefault="002A428A" w:rsidP="002A428A">
      <w:pPr>
        <w:jc w:val="both"/>
      </w:pPr>
      <w:r>
        <w:t xml:space="preserve">8) Para las </w:t>
      </w:r>
      <w:r w:rsidR="001A707C">
        <w:t xml:space="preserve">infraestructuras </w:t>
      </w:r>
      <w:r w:rsidR="00265E8F">
        <w:t>marítimas</w:t>
      </w:r>
      <w:r>
        <w:t xml:space="preserve"> específicamente, además de los sensores de cable fijos, la OTAN y la UE podrían colaborar en el uso de nuevas herramientas, invirtiendo en sistemas de monitoreo alternativos como sistemas autónomos potenciados por </w:t>
      </w:r>
      <w:r w:rsidR="00853D75">
        <w:t>AI</w:t>
      </w:r>
      <w:r>
        <w:t xml:space="preserve"> (ver el trabajo del Centro de Investigación y Experimentación Marítima de la OTAN/CMRE sobre detección de movimientos anómalos o minas a la deriva) o invertir en vehículos no tripulados y nueva tecnología de detección acústica, como sensores en plataformas móviles</w:t>
      </w:r>
      <w:r w:rsidR="00265E8F">
        <w:t xml:space="preserve">. </w:t>
      </w:r>
    </w:p>
    <w:p w14:paraId="73098DCB" w14:textId="77777777" w:rsidR="00A7728D" w:rsidRPr="00DD4D2B" w:rsidRDefault="00A7728D" w:rsidP="001F0FD2">
      <w:pPr>
        <w:jc w:val="both"/>
      </w:pPr>
    </w:p>
    <w:p w14:paraId="24A2FD75" w14:textId="337D4EB7" w:rsidR="001C5550" w:rsidRDefault="00265E8F" w:rsidP="001F0FD2">
      <w:pPr>
        <w:jc w:val="both"/>
      </w:pPr>
      <w:r>
        <w:t>Para concluir, a</w:t>
      </w:r>
      <w:r w:rsidR="00A7728D" w:rsidRPr="00DD4D2B">
        <w:t xml:space="preserve">demás de un sólido proceso de toma de decisiones y la voluntad política para definir </w:t>
      </w:r>
      <w:r>
        <w:t>objetivos y</w:t>
      </w:r>
      <w:r w:rsidR="00A7728D" w:rsidRPr="00DD4D2B">
        <w:t xml:space="preserve"> </w:t>
      </w:r>
      <w:r>
        <w:t>métodos estratégicos</w:t>
      </w:r>
      <w:r w:rsidR="00A7728D" w:rsidRPr="00DD4D2B">
        <w:t xml:space="preserve">, </w:t>
      </w:r>
      <w:r w:rsidR="00C41ED6">
        <w:t>Europa</w:t>
      </w:r>
      <w:r w:rsidR="00A7728D" w:rsidRPr="00DD4D2B">
        <w:t xml:space="preserve"> también necesita los "medios",</w:t>
      </w:r>
      <w:r w:rsidR="00C41ED6">
        <w:t xml:space="preserve"> </w:t>
      </w:r>
      <w:r w:rsidR="00853D75">
        <w:t>ósea</w:t>
      </w:r>
      <w:r w:rsidR="00A7728D" w:rsidRPr="00DD4D2B">
        <w:t xml:space="preserve"> un sólido apoyo financiero, para una cooperación más profunda</w:t>
      </w:r>
      <w:r w:rsidR="00C41ED6">
        <w:t>, y parece que el 5% del PIL en defensa decidido por los miembros de la OTAN, y en particular el 1.5% en defensa hibrida, vaya en esa dirección</w:t>
      </w:r>
      <w:r w:rsidR="00A7728D" w:rsidRPr="00DD4D2B">
        <w:t xml:space="preserve">. Las armas para Ucrania no serán suficientes para contrarrestar a adversarios a largo plazo como la Rusia de Putin, cuyo alineamiento con China, Corea del Norte e Irán aumenta la capacidad de los cuatro para atacar a Occidente con nuevas campañas de desestabilización, especialmente en </w:t>
      </w:r>
      <w:r w:rsidR="00F92C7C">
        <w:t>la futura transición</w:t>
      </w:r>
      <w:r w:rsidR="00A7728D" w:rsidRPr="00DD4D2B">
        <w:t xml:space="preserve"> energétic</w:t>
      </w:r>
      <w:r w:rsidR="00F92C7C">
        <w:t>a y tecnológica.</w:t>
      </w:r>
    </w:p>
    <w:p w14:paraId="1447D0C6" w14:textId="77777777" w:rsidR="00853D75" w:rsidRPr="00853D75" w:rsidRDefault="00853D75" w:rsidP="001F0FD2">
      <w:pPr>
        <w:jc w:val="both"/>
      </w:pPr>
    </w:p>
    <w:sectPr w:rsidR="00853D75" w:rsidRPr="00853D75" w:rsidSect="0001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B45F" w14:textId="77777777" w:rsidR="00F91559" w:rsidRPr="00515F49" w:rsidRDefault="00F91559" w:rsidP="00D27A9B">
      <w:pPr>
        <w:spacing w:line="240" w:lineRule="auto"/>
      </w:pPr>
      <w:r w:rsidRPr="00515F49">
        <w:separator/>
      </w:r>
    </w:p>
  </w:endnote>
  <w:endnote w:type="continuationSeparator" w:id="0">
    <w:p w14:paraId="07FA472B" w14:textId="77777777" w:rsidR="00F91559" w:rsidRPr="00515F49" w:rsidRDefault="00F91559" w:rsidP="00D27A9B">
      <w:pPr>
        <w:spacing w:line="240" w:lineRule="auto"/>
      </w:pPr>
      <w:r w:rsidRPr="00515F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A330" w14:textId="77777777" w:rsidR="00F91559" w:rsidRPr="00515F49" w:rsidRDefault="00F91559" w:rsidP="00D27A9B">
      <w:pPr>
        <w:spacing w:line="240" w:lineRule="auto"/>
      </w:pPr>
      <w:r w:rsidRPr="00515F49">
        <w:separator/>
      </w:r>
    </w:p>
  </w:footnote>
  <w:footnote w:type="continuationSeparator" w:id="0">
    <w:p w14:paraId="42DC9F0F" w14:textId="77777777" w:rsidR="00F91559" w:rsidRPr="00515F49" w:rsidRDefault="00F91559" w:rsidP="00D27A9B">
      <w:pPr>
        <w:spacing w:line="240" w:lineRule="auto"/>
      </w:pPr>
      <w:r w:rsidRPr="00515F49">
        <w:continuationSeparator/>
      </w:r>
    </w:p>
  </w:footnote>
  <w:footnote w:id="1">
    <w:p w14:paraId="543D346C" w14:textId="77777777" w:rsidR="00853D75" w:rsidRPr="00250248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515F49">
        <w:rPr>
          <w:rStyle w:val="FootnoteReference"/>
          <w:rFonts w:cs="Times New Roman"/>
        </w:rPr>
        <w:footnoteRef/>
      </w:r>
      <w:r w:rsidRPr="00250248">
        <w:rPr>
          <w:rFonts w:cs="Times New Roman"/>
          <w:lang w:val="en-GB"/>
        </w:rPr>
        <w:t xml:space="preserve"> ‘Hybrid war’ is a political and academic concept on which a lot has been written, especially on the Russian case. Just as few examples: Jack Watling, Oleksandr </w:t>
      </w:r>
      <w:proofErr w:type="spellStart"/>
      <w:r w:rsidRPr="00250248">
        <w:rPr>
          <w:rFonts w:cs="Times New Roman"/>
          <w:lang w:val="en-GB"/>
        </w:rPr>
        <w:t>Danylyuk</w:t>
      </w:r>
      <w:proofErr w:type="spellEnd"/>
      <w:r w:rsidRPr="00250248">
        <w:rPr>
          <w:rFonts w:cs="Times New Roman"/>
          <w:lang w:val="en-GB"/>
        </w:rPr>
        <w:t xml:space="preserve"> and Nick Reynolds, “The Threat from Russia’s Unconventional Warfare Beyond Ukraine, 2022–24”, </w:t>
      </w:r>
      <w:r w:rsidRPr="00250248">
        <w:rPr>
          <w:rFonts w:cs="Times New Roman"/>
          <w:i/>
          <w:iCs/>
          <w:lang w:val="en-GB"/>
        </w:rPr>
        <w:t xml:space="preserve">RUSI, </w:t>
      </w:r>
      <w:r w:rsidRPr="00250248">
        <w:rPr>
          <w:rFonts w:cs="Times New Roman"/>
          <w:lang w:val="en-GB"/>
        </w:rPr>
        <w:t xml:space="preserve">Special Report, February 20, 2024 </w:t>
      </w:r>
      <w:hyperlink r:id="rId1" w:history="1">
        <w:r w:rsidRPr="00250248">
          <w:rPr>
            <w:rStyle w:val="Hyperlink"/>
            <w:rFonts w:cs="Times New Roman"/>
            <w:lang w:val="en-GB"/>
          </w:rPr>
          <w:t>https://www.rusi.org/explore-our-research/publications/special-resources/threat-russias-unconventional-warfare-beyond-ukraine-2022-24</w:t>
        </w:r>
      </w:hyperlink>
      <w:r w:rsidRPr="00250248">
        <w:rPr>
          <w:rFonts w:cs="Times New Roman"/>
          <w:lang w:val="en-GB"/>
        </w:rPr>
        <w:t xml:space="preserve">; Arsalan Bilal, “Russia’s hybrid war against the West”, </w:t>
      </w:r>
      <w:r w:rsidRPr="00250248">
        <w:rPr>
          <w:rFonts w:cs="Times New Roman"/>
          <w:i/>
          <w:iCs/>
          <w:lang w:val="en-GB"/>
        </w:rPr>
        <w:t>NATO Review</w:t>
      </w:r>
      <w:r w:rsidRPr="00250248">
        <w:rPr>
          <w:rFonts w:cs="Times New Roman"/>
          <w:lang w:val="en-GB"/>
        </w:rPr>
        <w:t xml:space="preserve">, April 26, 2024, </w:t>
      </w:r>
      <w:hyperlink r:id="rId2" w:history="1">
        <w:r w:rsidRPr="00250248">
          <w:rPr>
            <w:rStyle w:val="Hyperlink"/>
            <w:rFonts w:cs="Times New Roman"/>
            <w:lang w:val="en-GB"/>
          </w:rPr>
          <w:t>https://www.nato.int/docu/review/articles/2024/04/26/russias-hybrid-war-against-the-west/index.html</w:t>
        </w:r>
      </w:hyperlink>
      <w:r w:rsidRPr="00250248">
        <w:rPr>
          <w:rFonts w:cs="Times New Roman"/>
          <w:lang w:val="en-GB"/>
        </w:rPr>
        <w:t xml:space="preserve">; Maurizio Geri, “Understanding Russian Hybrid Warfare against Europe in the energy sector and in the future ‘energy-resources-climate’” security nexus, Journal of Strategic Security, Vol. 17, No. 3 (2024) </w:t>
      </w:r>
      <w:hyperlink r:id="rId3" w:history="1">
        <w:r w:rsidRPr="00250248">
          <w:rPr>
            <w:rStyle w:val="Hyperlink"/>
            <w:rFonts w:cs="Times New Roman"/>
            <w:lang w:val="en-GB"/>
          </w:rPr>
          <w:t>https://digitalcommons.usf.edu/jss/vol17/iss3/2/</w:t>
        </w:r>
      </w:hyperlink>
      <w:r w:rsidRPr="00250248">
        <w:rPr>
          <w:rFonts w:cs="Times New Roman"/>
          <w:lang w:val="en-GB"/>
        </w:rPr>
        <w:t xml:space="preserve">; Beniamino </w:t>
      </w:r>
      <w:proofErr w:type="spellStart"/>
      <w:r w:rsidRPr="00250248">
        <w:rPr>
          <w:rFonts w:cs="Times New Roman"/>
          <w:lang w:val="en-GB"/>
        </w:rPr>
        <w:t>Irdi</w:t>
      </w:r>
      <w:proofErr w:type="spellEnd"/>
      <w:r w:rsidRPr="00250248">
        <w:rPr>
          <w:rFonts w:cs="Times New Roman"/>
          <w:lang w:val="en-GB"/>
        </w:rPr>
        <w:t xml:space="preserve">, “Hybrid Threats and Modern Political Warfare: The Architecture of Cross-Domain Conflict”, </w:t>
      </w:r>
      <w:r w:rsidRPr="00250248">
        <w:rPr>
          <w:rFonts w:cs="Times New Roman"/>
          <w:i/>
          <w:iCs/>
          <w:lang w:val="en-GB"/>
        </w:rPr>
        <w:t>The Jamestown Foundation,</w:t>
      </w:r>
      <w:r w:rsidRPr="00250248">
        <w:rPr>
          <w:rFonts w:cs="Times New Roman"/>
          <w:lang w:val="en-GB"/>
        </w:rPr>
        <w:t xml:space="preserve"> May 2, 2025, </w:t>
      </w:r>
      <w:hyperlink r:id="rId4" w:history="1">
        <w:r w:rsidRPr="00250248">
          <w:rPr>
            <w:rStyle w:val="Hyperlink"/>
            <w:rFonts w:cs="Times New Roman"/>
            <w:lang w:val="en-GB"/>
          </w:rPr>
          <w:t>https://jamestown.org/program/hybrid-threats-and-modern-political-warfare-the-architecture-of-cross-domain-conflict/</w:t>
        </w:r>
      </w:hyperlink>
      <w:r w:rsidRPr="00250248">
        <w:rPr>
          <w:rFonts w:cs="Times New Roman"/>
          <w:lang w:val="en-GB"/>
        </w:rPr>
        <w:t xml:space="preserve"> </w:t>
      </w:r>
    </w:p>
  </w:footnote>
  <w:footnote w:id="2">
    <w:p w14:paraId="65DEF12E" w14:textId="77777777" w:rsidR="00853D75" w:rsidRPr="00250248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515F49">
        <w:rPr>
          <w:rStyle w:val="FootnoteReference"/>
          <w:rFonts w:cs="Times New Roman"/>
        </w:rPr>
        <w:footnoteRef/>
      </w:r>
      <w:r w:rsidRPr="00250248">
        <w:rPr>
          <w:rFonts w:cs="Times New Roman"/>
          <w:lang w:val="en-GB"/>
        </w:rPr>
        <w:t xml:space="preserve"> Frank Gardner and Tessa Wong, “Russia may attack Nato in next four years, German defence chief warns”, </w:t>
      </w:r>
      <w:r w:rsidRPr="00250248">
        <w:rPr>
          <w:rFonts w:cs="Times New Roman"/>
          <w:i/>
          <w:iCs/>
          <w:lang w:val="en-GB"/>
        </w:rPr>
        <w:t>BBC</w:t>
      </w:r>
      <w:r w:rsidRPr="00250248">
        <w:rPr>
          <w:rFonts w:cs="Times New Roman"/>
          <w:lang w:val="en-GB"/>
        </w:rPr>
        <w:t xml:space="preserve">, June 1, 2025, </w:t>
      </w:r>
      <w:hyperlink r:id="rId5" w:history="1">
        <w:r w:rsidRPr="00250248">
          <w:rPr>
            <w:rStyle w:val="Hyperlink"/>
            <w:rFonts w:cs="Times New Roman"/>
            <w:lang w:val="en-GB"/>
          </w:rPr>
          <w:t>https://www.bbc.com/news/articles/c62v63gl8rvo</w:t>
        </w:r>
      </w:hyperlink>
      <w:r w:rsidRPr="00250248">
        <w:rPr>
          <w:rFonts w:cs="Times New Roman"/>
          <w:lang w:val="en-GB"/>
        </w:rPr>
        <w:t xml:space="preserve"> </w:t>
      </w:r>
    </w:p>
  </w:footnote>
  <w:footnote w:id="3">
    <w:p w14:paraId="3328E9C5" w14:textId="1404F515" w:rsidR="00853D75" w:rsidRPr="00250248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515F49">
        <w:rPr>
          <w:rStyle w:val="FootnoteReference"/>
          <w:rFonts w:cs="Times New Roman"/>
        </w:rPr>
        <w:footnoteRef/>
      </w:r>
      <w:r w:rsidRPr="00250248">
        <w:rPr>
          <w:rFonts w:cs="Times New Roman"/>
          <w:lang w:val="en-GB"/>
        </w:rPr>
        <w:t xml:space="preserve"> Maksym </w:t>
      </w:r>
      <w:proofErr w:type="spellStart"/>
      <w:r w:rsidRPr="00250248">
        <w:rPr>
          <w:rFonts w:cs="Times New Roman"/>
          <w:lang w:val="en-GB"/>
        </w:rPr>
        <w:t>Beznosiuk</w:t>
      </w:r>
      <w:proofErr w:type="spellEnd"/>
      <w:r w:rsidRPr="00250248">
        <w:rPr>
          <w:rFonts w:cs="Times New Roman"/>
          <w:lang w:val="en-GB"/>
        </w:rPr>
        <w:t>, “Russian hybrid warfare: Ukraine’s success offers lessons for Europe”, June 5, 2025</w:t>
      </w:r>
      <w:r w:rsidRPr="00250248">
        <w:rPr>
          <w:rFonts w:cs="Times New Roman"/>
          <w:lang w:val="en-GB"/>
        </w:rPr>
        <w:tab/>
      </w:r>
    </w:p>
    <w:p w14:paraId="439CFA24" w14:textId="77777777" w:rsidR="00853D75" w:rsidRPr="00250248" w:rsidRDefault="00853D75" w:rsidP="009003D4">
      <w:pPr>
        <w:pStyle w:val="FootnoteText"/>
        <w:jc w:val="both"/>
        <w:rPr>
          <w:rFonts w:cs="Times New Roman"/>
          <w:lang w:val="en-GB"/>
        </w:rPr>
      </w:pPr>
      <w:hyperlink r:id="rId6" w:history="1">
        <w:r w:rsidRPr="00250248">
          <w:rPr>
            <w:rStyle w:val="Hyperlink"/>
            <w:rFonts w:cs="Times New Roman"/>
            <w:lang w:val="en-GB"/>
          </w:rPr>
          <w:t>https://www.atlanticcouncil.org/blogs/ukrainealert/russian-hybrid-warfare-europe-should-study-ukraines-unique-experience/</w:t>
        </w:r>
      </w:hyperlink>
      <w:r w:rsidRPr="00250248">
        <w:rPr>
          <w:rFonts w:cs="Times New Roman"/>
          <w:lang w:val="en-GB"/>
        </w:rPr>
        <w:t xml:space="preserve"> </w:t>
      </w:r>
    </w:p>
    <w:p w14:paraId="78350D2B" w14:textId="77777777" w:rsidR="00853D75" w:rsidRPr="00250248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250248">
        <w:rPr>
          <w:rFonts w:cs="Times New Roman"/>
          <w:lang w:val="en-GB"/>
        </w:rPr>
        <w:t xml:space="preserve">Maksym </w:t>
      </w:r>
      <w:proofErr w:type="spellStart"/>
      <w:r w:rsidRPr="00250248">
        <w:rPr>
          <w:rFonts w:cs="Times New Roman"/>
          <w:lang w:val="en-GB"/>
        </w:rPr>
        <w:t>Beznosiuk</w:t>
      </w:r>
      <w:proofErr w:type="spellEnd"/>
      <w:r w:rsidRPr="00250248">
        <w:rPr>
          <w:rFonts w:cs="Times New Roman"/>
          <w:lang w:val="en-GB"/>
        </w:rPr>
        <w:t xml:space="preserve">, “Russia’s hybrid war on NATO’s Eastern Flank quietly escalates”, June 13, 2025,  </w:t>
      </w:r>
      <w:hyperlink r:id="rId7" w:history="1">
        <w:r w:rsidRPr="00250248">
          <w:rPr>
            <w:rStyle w:val="Hyperlink"/>
            <w:rFonts w:cs="Times New Roman"/>
            <w:lang w:val="en-GB"/>
          </w:rPr>
          <w:t>https://neweasterneurope.eu/2025/06/13/russias-hybrid-war-on-natos-eastern-flank-quietly-escalates/</w:t>
        </w:r>
      </w:hyperlink>
      <w:r w:rsidRPr="00250248">
        <w:rPr>
          <w:rFonts w:cs="Times New Roman"/>
          <w:lang w:val="en-GB"/>
        </w:rPr>
        <w:t xml:space="preserve"> </w:t>
      </w:r>
    </w:p>
  </w:footnote>
  <w:footnote w:id="4">
    <w:p w14:paraId="7D223597" w14:textId="77777777" w:rsidR="00853D75" w:rsidRPr="008D6DA4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4966D9">
        <w:rPr>
          <w:rStyle w:val="FootnoteReference"/>
          <w:rFonts w:cs="Times New Roman"/>
        </w:rPr>
        <w:footnoteRef/>
      </w:r>
      <w:r w:rsidRPr="00250248">
        <w:rPr>
          <w:rFonts w:cs="Times New Roman"/>
          <w:lang w:val="en-GB"/>
        </w:rPr>
        <w:t xml:space="preserve"> Chris Kremidas-Courtney, “Hybrid storm rising: Russia and China’s axis against democracy”, </w:t>
      </w:r>
      <w:r w:rsidRPr="00250248">
        <w:rPr>
          <w:rFonts w:cs="Times New Roman"/>
          <w:i/>
          <w:iCs/>
          <w:lang w:val="en-GB"/>
        </w:rPr>
        <w:t xml:space="preserve">European Policy </w:t>
      </w:r>
      <w:proofErr w:type="spellStart"/>
      <w:r w:rsidRPr="00250248">
        <w:rPr>
          <w:rFonts w:cs="Times New Roman"/>
          <w:i/>
          <w:iCs/>
          <w:lang w:val="en-GB"/>
        </w:rPr>
        <w:t>Center</w:t>
      </w:r>
      <w:proofErr w:type="spellEnd"/>
      <w:r w:rsidRPr="008D6DA4">
        <w:rPr>
          <w:rFonts w:cs="Times New Roman"/>
          <w:i/>
          <w:iCs/>
          <w:lang w:val="en-GB"/>
        </w:rPr>
        <w:t>,</w:t>
      </w:r>
      <w:r w:rsidRPr="008D6DA4">
        <w:rPr>
          <w:rFonts w:cs="Times New Roman"/>
          <w:lang w:val="en-GB"/>
        </w:rPr>
        <w:t xml:space="preserve"> May 2, 2025, </w:t>
      </w:r>
      <w:hyperlink r:id="rId8" w:history="1">
        <w:r w:rsidRPr="008D6DA4">
          <w:rPr>
            <w:rStyle w:val="Hyperlink"/>
            <w:rFonts w:cs="Times New Roman"/>
            <w:lang w:val="en-GB"/>
          </w:rPr>
          <w:t>https://epc.eu/publication/Hybrid-storm-rising-Russia-and-Chinas-axis-against-democracy-64b158/</w:t>
        </w:r>
      </w:hyperlink>
      <w:r w:rsidRPr="008D6DA4">
        <w:rPr>
          <w:rFonts w:cs="Times New Roman"/>
          <w:lang w:val="en-GB"/>
        </w:rPr>
        <w:t xml:space="preserve"> </w:t>
      </w:r>
    </w:p>
  </w:footnote>
  <w:footnote w:id="5">
    <w:p w14:paraId="2CDD5187" w14:textId="48121671" w:rsidR="00853D75" w:rsidRPr="008D6DA4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8D6DA4">
        <w:rPr>
          <w:rStyle w:val="FootnoteReference"/>
          <w:rFonts w:cs="Times New Roman"/>
        </w:rPr>
        <w:footnoteRef/>
      </w:r>
      <w:r w:rsidRPr="008D6DA4">
        <w:rPr>
          <w:rFonts w:cs="Times New Roman"/>
          <w:lang w:val="en-GB"/>
        </w:rPr>
        <w:t xml:space="preserve"> Kimsey, D., J. Kim, J. McCoy, and C. Cuddy. 2020. “Utilization of the DIMEFIL Framework in a Case Study Analysis of Security Cooperation Success.” Small Wars Journal. </w:t>
      </w:r>
      <w:hyperlink r:id="rId9" w:history="1">
        <w:r w:rsidRPr="008D6DA4">
          <w:rPr>
            <w:rStyle w:val="Hyperlink"/>
            <w:rFonts w:cs="Times New Roman"/>
            <w:lang w:val="en-GB"/>
          </w:rPr>
          <w:t>https://smallwarsjournal.com/jrnl/art/utilization-dimefil-framework-case-study-analysis-security-cooperation-success</w:t>
        </w:r>
      </w:hyperlink>
      <w:r w:rsidRPr="008D6DA4">
        <w:rPr>
          <w:rFonts w:cs="Times New Roman"/>
          <w:lang w:val="en-GB"/>
        </w:rPr>
        <w:t xml:space="preserve"> </w:t>
      </w:r>
    </w:p>
  </w:footnote>
  <w:footnote w:id="6">
    <w:p w14:paraId="3187FCD6" w14:textId="79B046B7" w:rsidR="00853D75" w:rsidRPr="00A46B34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8D6DA4">
        <w:rPr>
          <w:rStyle w:val="FootnoteReference"/>
          <w:rFonts w:cs="Times New Roman"/>
        </w:rPr>
        <w:footnoteRef/>
      </w:r>
      <w:r w:rsidRPr="008D6DA4">
        <w:rPr>
          <w:rFonts w:cs="Times New Roman"/>
          <w:lang w:val="en-GB"/>
        </w:rPr>
        <w:t xml:space="preserve"> NATO, Countering hybrid</w:t>
      </w:r>
      <w:r>
        <w:rPr>
          <w:rFonts w:cs="Times New Roman"/>
          <w:lang w:val="en-GB"/>
        </w:rPr>
        <w:t xml:space="preserve"> threats, updated May 7, 20024, </w:t>
      </w:r>
      <w:hyperlink r:id="rId10" w:history="1">
        <w:r w:rsidRPr="00B055DF">
          <w:rPr>
            <w:rStyle w:val="Hyperlink"/>
            <w:rFonts w:cs="Times New Roman"/>
            <w:lang w:val="en-GB"/>
          </w:rPr>
          <w:t>https://www.nato.int/cps/en/natohq/topics_156338.htm</w:t>
        </w:r>
      </w:hyperlink>
      <w:r w:rsidRPr="00A46B34">
        <w:rPr>
          <w:rFonts w:cs="Times New Roman"/>
          <w:lang w:val="en-GB"/>
        </w:rPr>
        <w:t xml:space="preserve"> </w:t>
      </w:r>
    </w:p>
  </w:footnote>
  <w:footnote w:id="7">
    <w:p w14:paraId="4400E902" w14:textId="7700C7FF" w:rsidR="00853D75" w:rsidRPr="002D4ABE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4966D9">
        <w:rPr>
          <w:rStyle w:val="FootnoteReference"/>
          <w:rFonts w:cs="Times New Roman"/>
        </w:rPr>
        <w:footnoteRef/>
      </w:r>
      <w:r w:rsidRPr="004966D9">
        <w:rPr>
          <w:rFonts w:cs="Times New Roman"/>
          <w:lang w:val="en-GB"/>
        </w:rPr>
        <w:t xml:space="preserve"> NATO, Summary of NATO’s Rapid Adoption</w:t>
      </w:r>
      <w:r w:rsidRPr="002D4ABE">
        <w:rPr>
          <w:rFonts w:cs="Times New Roman"/>
          <w:lang w:val="en-GB"/>
        </w:rPr>
        <w:t xml:space="preserve"> Action Plan</w:t>
      </w:r>
      <w:r>
        <w:rPr>
          <w:rFonts w:cs="Times New Roman"/>
          <w:lang w:val="en-GB"/>
        </w:rPr>
        <w:t xml:space="preserve">, updated June 25, 2025,  </w:t>
      </w:r>
      <w:hyperlink r:id="rId11" w:history="1">
        <w:r w:rsidRPr="00B055DF">
          <w:rPr>
            <w:rStyle w:val="Hyperlink"/>
            <w:rFonts w:cs="Times New Roman"/>
            <w:lang w:val="en-GB"/>
          </w:rPr>
          <w:t>https://www.nato.int/cps/en/natohq/official_texts_236539.htm</w:t>
        </w:r>
      </w:hyperlink>
      <w:r w:rsidRPr="002D4ABE">
        <w:rPr>
          <w:rFonts w:cs="Times New Roman"/>
          <w:lang w:val="en-GB"/>
        </w:rPr>
        <w:t xml:space="preserve"> </w:t>
      </w:r>
    </w:p>
  </w:footnote>
  <w:footnote w:id="8">
    <w:p w14:paraId="6CD5991A" w14:textId="77777777" w:rsidR="00853D75" w:rsidRPr="00AC341F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55488C">
        <w:rPr>
          <w:rStyle w:val="FootnoteReference"/>
          <w:rFonts w:cs="Times New Roman"/>
        </w:rPr>
        <w:footnoteRef/>
      </w:r>
      <w:r w:rsidRPr="0055488C">
        <w:rPr>
          <w:rFonts w:cs="Times New Roman"/>
          <w:lang w:val="en-GB"/>
        </w:rPr>
        <w:t xml:space="preserve"> “Emerging and Disruptive Technologies”, NATO, updated June 25, 2025, </w:t>
      </w:r>
      <w:hyperlink r:id="rId12" w:history="1">
        <w:r w:rsidRPr="00AC341F">
          <w:rPr>
            <w:rStyle w:val="Hyperlink"/>
            <w:rFonts w:cs="Times New Roman"/>
            <w:lang w:val="en-GB"/>
          </w:rPr>
          <w:t>https://www.nato.int/cps/en/natohq/topics_184303.htm</w:t>
        </w:r>
      </w:hyperlink>
      <w:r w:rsidRPr="00AC341F">
        <w:rPr>
          <w:rFonts w:cs="Times New Roman"/>
          <w:lang w:val="en-GB"/>
        </w:rPr>
        <w:t xml:space="preserve"> </w:t>
      </w:r>
    </w:p>
  </w:footnote>
  <w:footnote w:id="9">
    <w:p w14:paraId="5CC7E72A" w14:textId="77777777" w:rsidR="00853D75" w:rsidRPr="003B7450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AC341F">
        <w:rPr>
          <w:rStyle w:val="FootnoteReference"/>
          <w:rFonts w:cs="Times New Roman"/>
        </w:rPr>
        <w:footnoteRef/>
      </w:r>
      <w:r w:rsidRPr="00AC341F">
        <w:rPr>
          <w:rFonts w:cs="Times New Roman"/>
          <w:lang w:val="en-GB"/>
        </w:rPr>
        <w:t xml:space="preserve"> “Commission presents a European internal security strategy”, </w:t>
      </w:r>
      <w:r w:rsidRPr="00AC341F">
        <w:rPr>
          <w:rFonts w:cs="Times New Roman"/>
          <w:i/>
          <w:iCs/>
          <w:lang w:val="en-GB"/>
        </w:rPr>
        <w:t>EU Commission</w:t>
      </w:r>
      <w:r w:rsidRPr="00AC341F">
        <w:rPr>
          <w:rFonts w:cs="Times New Roman"/>
          <w:lang w:val="en-GB"/>
        </w:rPr>
        <w:t xml:space="preserve"> </w:t>
      </w:r>
      <w:r w:rsidRPr="00AC341F">
        <w:rPr>
          <w:rFonts w:cs="Times New Roman"/>
          <w:i/>
          <w:iCs/>
          <w:lang w:val="en-GB"/>
        </w:rPr>
        <w:t xml:space="preserve">News, </w:t>
      </w:r>
      <w:r w:rsidRPr="00AC341F">
        <w:rPr>
          <w:rFonts w:cs="Times New Roman"/>
          <w:lang w:val="en-GB"/>
        </w:rPr>
        <w:t xml:space="preserve">April 1, 2025, </w:t>
      </w:r>
      <w:hyperlink r:id="rId13" w:history="1">
        <w:r w:rsidRPr="003B7450">
          <w:rPr>
            <w:rStyle w:val="Hyperlink"/>
            <w:rFonts w:cs="Times New Roman"/>
            <w:lang w:val="en-GB"/>
          </w:rPr>
          <w:t>https://commission.europa.eu/news/commission-presents-european-internal-security-strategy-2025-04-01_en</w:t>
        </w:r>
      </w:hyperlink>
      <w:r w:rsidRPr="003B7450">
        <w:rPr>
          <w:rFonts w:cs="Times New Roman"/>
          <w:lang w:val="en-GB"/>
        </w:rPr>
        <w:t xml:space="preserve"> </w:t>
      </w:r>
    </w:p>
  </w:footnote>
  <w:footnote w:id="10">
    <w:p w14:paraId="1B3A001B" w14:textId="4A275630" w:rsidR="00853D75" w:rsidRPr="006A143D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3B7450">
        <w:rPr>
          <w:rStyle w:val="FootnoteReference"/>
          <w:rFonts w:cs="Times New Roman"/>
        </w:rPr>
        <w:footnoteRef/>
      </w:r>
      <w:r w:rsidRPr="003B7450">
        <w:rPr>
          <w:rFonts w:cs="Times New Roman"/>
          <w:lang w:val="en-GB"/>
        </w:rPr>
        <w:t xml:space="preserve">  </w:t>
      </w:r>
      <w:r w:rsidRPr="006A143D">
        <w:rPr>
          <w:rFonts w:cs="Times New Roman"/>
          <w:lang w:val="en-GB"/>
        </w:rPr>
        <w:t xml:space="preserve">NATO, Remarks by NATO Secretary General Mark Rutte at the European Parliament, updated January 14, 2025, </w:t>
      </w:r>
      <w:hyperlink r:id="rId14" w:history="1">
        <w:r w:rsidRPr="006A143D">
          <w:rPr>
            <w:rStyle w:val="Hyperlink"/>
            <w:rFonts w:cs="Times New Roman"/>
            <w:lang w:val="en-GB"/>
          </w:rPr>
          <w:t>https://www.nato.int/cps/en/natohq/opinions_232125.htm</w:t>
        </w:r>
      </w:hyperlink>
      <w:r w:rsidRPr="006A143D">
        <w:rPr>
          <w:rFonts w:cs="Times New Roman"/>
          <w:lang w:val="en-GB"/>
        </w:rPr>
        <w:t xml:space="preserve"> </w:t>
      </w:r>
    </w:p>
  </w:footnote>
  <w:footnote w:id="11">
    <w:p w14:paraId="40BF1846" w14:textId="2DA7F7A1" w:rsidR="00853D75" w:rsidRPr="000D719C" w:rsidRDefault="00853D75" w:rsidP="009003D4">
      <w:pPr>
        <w:pStyle w:val="FootnoteText"/>
        <w:jc w:val="both"/>
        <w:rPr>
          <w:lang w:val="en-GB"/>
        </w:rPr>
      </w:pPr>
      <w:r w:rsidRPr="006A143D">
        <w:rPr>
          <w:rStyle w:val="FootnoteReference"/>
          <w:rFonts w:cs="Times New Roman"/>
        </w:rPr>
        <w:footnoteRef/>
      </w:r>
      <w:r w:rsidRPr="006A143D">
        <w:rPr>
          <w:rFonts w:cs="Times New Roman"/>
          <w:lang w:val="en-GB"/>
        </w:rPr>
        <w:t xml:space="preserve"> Atlantic council, “Today’s wars are fought in the ‘</w:t>
      </w:r>
      <w:proofErr w:type="spellStart"/>
      <w:r w:rsidRPr="006A143D">
        <w:rPr>
          <w:rFonts w:cs="Times New Roman"/>
          <w:lang w:val="en-GB"/>
        </w:rPr>
        <w:t>gray</w:t>
      </w:r>
      <w:proofErr w:type="spellEnd"/>
      <w:r w:rsidRPr="006A143D">
        <w:rPr>
          <w:rFonts w:cs="Times New Roman"/>
          <w:lang w:val="en-GB"/>
        </w:rPr>
        <w:t xml:space="preserve"> zone.’ Here’s everything you need to know about it”, February 23, 2022, </w:t>
      </w:r>
      <w:hyperlink r:id="rId15" w:history="1">
        <w:r w:rsidRPr="006A143D">
          <w:rPr>
            <w:rStyle w:val="Hyperlink"/>
            <w:rFonts w:cs="Times New Roman"/>
            <w:lang w:val="en-GB"/>
          </w:rPr>
          <w:t>https://www.atlanticcouncil.org/blogs/new-atlanticist/todays-wars-are-fought-in-the-gray-zone-heres-everything-you-need-to-know-about-it/</w:t>
        </w:r>
      </w:hyperlink>
      <w:r>
        <w:rPr>
          <w:lang w:val="en-GB"/>
        </w:rPr>
        <w:t xml:space="preserve"> </w:t>
      </w:r>
    </w:p>
  </w:footnote>
  <w:footnote w:id="12">
    <w:p w14:paraId="0DAC98DA" w14:textId="0CF4D38F" w:rsidR="00853D75" w:rsidRPr="00812AE2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3B7450">
        <w:rPr>
          <w:rStyle w:val="FootnoteReference"/>
          <w:rFonts w:cs="Times New Roman"/>
        </w:rPr>
        <w:footnoteRef/>
      </w:r>
      <w:r w:rsidRPr="003B7450">
        <w:rPr>
          <w:rFonts w:cs="Times New Roman"/>
          <w:lang w:val="en-GB"/>
        </w:rPr>
        <w:t xml:space="preserve"> </w:t>
      </w:r>
      <w:r w:rsidRPr="00812AE2">
        <w:rPr>
          <w:rFonts w:cs="Times New Roman"/>
          <w:lang w:val="en-GB"/>
        </w:rPr>
        <w:t>NATO “Countering hybrid threats”, updated May 7, 2024</w:t>
      </w:r>
    </w:p>
    <w:p w14:paraId="3C1F6CE9" w14:textId="4C2B976E" w:rsidR="00853D75" w:rsidRPr="00B82FFD" w:rsidRDefault="00853D75" w:rsidP="009003D4">
      <w:pPr>
        <w:pStyle w:val="FootnoteText"/>
        <w:jc w:val="both"/>
        <w:rPr>
          <w:rFonts w:cs="Times New Roman"/>
          <w:lang w:val="en-GB"/>
        </w:rPr>
      </w:pPr>
      <w:hyperlink r:id="rId16" w:history="1">
        <w:r w:rsidRPr="00B82FFD">
          <w:rPr>
            <w:rStyle w:val="Hyperlink"/>
            <w:rFonts w:cs="Times New Roman"/>
            <w:lang w:val="en-GB"/>
          </w:rPr>
          <w:t>https://www.nato.int/cps/en/natohq/topics_156338.htm</w:t>
        </w:r>
      </w:hyperlink>
      <w:r w:rsidRPr="00B82FFD">
        <w:rPr>
          <w:rFonts w:cs="Times New Roman"/>
          <w:lang w:val="en-GB"/>
        </w:rPr>
        <w:t xml:space="preserve"> </w:t>
      </w:r>
    </w:p>
  </w:footnote>
  <w:footnote w:id="13">
    <w:p w14:paraId="7372990F" w14:textId="3832E696" w:rsidR="00853D75" w:rsidRPr="00B73C2B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B82FFD">
        <w:rPr>
          <w:rStyle w:val="FootnoteReference"/>
          <w:rFonts w:cs="Times New Roman"/>
        </w:rPr>
        <w:footnoteRef/>
      </w:r>
      <w:r w:rsidRPr="00B82FFD">
        <w:rPr>
          <w:rFonts w:cs="Times New Roman"/>
          <w:lang w:val="en-GB"/>
        </w:rPr>
        <w:t xml:space="preserve"> Mark Galeotti, “The Weaponisation of Everything. A Field Guide to the New Way of War”, Yale University Press, 2022, </w:t>
      </w:r>
      <w:hyperlink r:id="rId17" w:history="1">
        <w:r w:rsidRPr="00B73C2B">
          <w:rPr>
            <w:rStyle w:val="Hyperlink"/>
            <w:rFonts w:cs="Times New Roman"/>
            <w:lang w:val="en-GB"/>
          </w:rPr>
          <w:t>https://yalebooks.yale.edu/book/9780300270419/the-weaponisation-of-everything/</w:t>
        </w:r>
      </w:hyperlink>
      <w:r w:rsidRPr="00B73C2B">
        <w:rPr>
          <w:rFonts w:cs="Times New Roman"/>
          <w:lang w:val="en-GB"/>
        </w:rPr>
        <w:t xml:space="preserve"> </w:t>
      </w:r>
    </w:p>
  </w:footnote>
  <w:footnote w:id="14">
    <w:p w14:paraId="5EB8C5D9" w14:textId="633AA468" w:rsidR="00853D75" w:rsidRPr="00B73C2B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B73C2B">
        <w:rPr>
          <w:rStyle w:val="FootnoteReference"/>
          <w:rFonts w:cs="Times New Roman"/>
        </w:rPr>
        <w:footnoteRef/>
      </w:r>
      <w:r w:rsidRPr="00B73C2B">
        <w:rPr>
          <w:rFonts w:cs="Times New Roman"/>
          <w:lang w:val="en-GB"/>
        </w:rPr>
        <w:t xml:space="preserve"> Tyler Jost, “Have China’s Wolf Warriors Gone Extinct?”, Foreign Affairs, June 27, 2024, </w:t>
      </w:r>
      <w:hyperlink r:id="rId18" w:history="1">
        <w:r w:rsidRPr="00B73C2B">
          <w:rPr>
            <w:rStyle w:val="Hyperlink"/>
            <w:rFonts w:cs="Times New Roman"/>
            <w:lang w:val="en-GB"/>
          </w:rPr>
          <w:t>https://www.foreignaffairs.com/china/have-chinas-wolf-warriors-gone-extinct</w:t>
        </w:r>
      </w:hyperlink>
      <w:r w:rsidRPr="00B73C2B">
        <w:rPr>
          <w:rFonts w:cs="Times New Roman"/>
          <w:lang w:val="en-GB"/>
        </w:rPr>
        <w:t xml:space="preserve"> </w:t>
      </w:r>
    </w:p>
  </w:footnote>
  <w:footnote w:id="15">
    <w:p w14:paraId="244BA228" w14:textId="78114851" w:rsidR="00853D75" w:rsidRPr="00B73C2B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B73C2B">
        <w:rPr>
          <w:rStyle w:val="FootnoteReference"/>
          <w:rFonts w:cs="Times New Roman"/>
        </w:rPr>
        <w:footnoteRef/>
      </w:r>
      <w:r w:rsidRPr="00B73C2B">
        <w:rPr>
          <w:rFonts w:cs="Times New Roman"/>
          <w:lang w:val="en-GB"/>
        </w:rPr>
        <w:t xml:space="preserve"> NATO, Emerging and disruptive technologies, updated June 25, 2025, </w:t>
      </w:r>
      <w:hyperlink r:id="rId19" w:history="1">
        <w:r w:rsidRPr="00B73C2B">
          <w:rPr>
            <w:rStyle w:val="Hyperlink"/>
            <w:rFonts w:cs="Times New Roman"/>
            <w:lang w:val="en-GB"/>
          </w:rPr>
          <w:t>https://www.nato.int/cps/en/natohq/topics_184303.htm</w:t>
        </w:r>
      </w:hyperlink>
      <w:r w:rsidRPr="00B73C2B">
        <w:rPr>
          <w:rFonts w:cs="Times New Roman"/>
          <w:lang w:val="en-GB"/>
        </w:rPr>
        <w:t xml:space="preserve"> </w:t>
      </w:r>
    </w:p>
  </w:footnote>
  <w:footnote w:id="16">
    <w:p w14:paraId="75CF99E0" w14:textId="5EB5C667" w:rsidR="00853D75" w:rsidRPr="00C61B16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6F36B4">
        <w:rPr>
          <w:rStyle w:val="FootnoteReference"/>
          <w:rFonts w:cs="Times New Roman"/>
        </w:rPr>
        <w:footnoteRef/>
      </w:r>
      <w:r w:rsidRPr="006F36B4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>The Economist, “</w:t>
      </w:r>
      <w:r w:rsidRPr="006F36B4">
        <w:rPr>
          <w:rFonts w:cs="Times New Roman"/>
          <w:lang w:val="en-GB"/>
        </w:rPr>
        <w:t>Generative AI has a clean-energy problem</w:t>
      </w:r>
      <w:r>
        <w:rPr>
          <w:rFonts w:cs="Times New Roman"/>
          <w:lang w:val="en-GB"/>
        </w:rPr>
        <w:t>”</w:t>
      </w:r>
      <w:r w:rsidRPr="006F36B4">
        <w:rPr>
          <w:rFonts w:cs="Times New Roman"/>
          <w:lang w:val="en-GB"/>
        </w:rPr>
        <w:t xml:space="preserve">, April 11, 2024  </w:t>
      </w:r>
      <w:hyperlink r:id="rId20" w:history="1">
        <w:r w:rsidRPr="00C61B16">
          <w:rPr>
            <w:rStyle w:val="Hyperlink"/>
            <w:rFonts w:cs="Times New Roman"/>
            <w:lang w:val="en-GB"/>
          </w:rPr>
          <w:t>https://www.economist.com/business/2024/04/11/generative-ai-has-a-clean-energy-problem</w:t>
        </w:r>
      </w:hyperlink>
      <w:r w:rsidRPr="00C61B16">
        <w:rPr>
          <w:rFonts w:cs="Times New Roman"/>
          <w:lang w:val="en-GB"/>
        </w:rPr>
        <w:t xml:space="preserve"> </w:t>
      </w:r>
    </w:p>
  </w:footnote>
  <w:footnote w:id="17">
    <w:p w14:paraId="31D5AA56" w14:textId="4CCBBD37" w:rsidR="00853D75" w:rsidRPr="00512BC6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C61B16">
        <w:rPr>
          <w:rStyle w:val="FootnoteReference"/>
          <w:rFonts w:cs="Times New Roman"/>
        </w:rPr>
        <w:footnoteRef/>
      </w:r>
      <w:r w:rsidRPr="00C61B16">
        <w:rPr>
          <w:rFonts w:cs="Times New Roman"/>
          <w:lang w:val="en-GB"/>
        </w:rPr>
        <w:t xml:space="preserve"> Long-</w:t>
      </w:r>
      <w:r w:rsidRPr="00512BC6">
        <w:rPr>
          <w:rFonts w:cs="Times New Roman"/>
          <w:lang w:val="en-GB"/>
        </w:rPr>
        <w:t xml:space="preserve">term low greenhouse gas emission development strategies (LT-LEDS), Russian Federation, UN Climate Change, </w:t>
      </w:r>
      <w:hyperlink r:id="rId21" w:history="1">
        <w:r w:rsidRPr="00512BC6">
          <w:rPr>
            <w:rStyle w:val="Hyperlink"/>
            <w:rFonts w:cs="Times New Roman"/>
            <w:lang w:val="en-GB"/>
          </w:rPr>
          <w:t>https://unfccc.int/documents/613780</w:t>
        </w:r>
      </w:hyperlink>
      <w:r w:rsidRPr="00512BC6">
        <w:rPr>
          <w:rFonts w:cs="Times New Roman"/>
          <w:lang w:val="en-GB"/>
        </w:rPr>
        <w:t xml:space="preserve"> </w:t>
      </w:r>
    </w:p>
  </w:footnote>
  <w:footnote w:id="18">
    <w:p w14:paraId="1DB582A8" w14:textId="0616C871" w:rsidR="00853D75" w:rsidRPr="00B9553D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512BC6">
        <w:rPr>
          <w:rStyle w:val="FootnoteReference"/>
          <w:rFonts w:cs="Times New Roman"/>
        </w:rPr>
        <w:footnoteRef/>
      </w:r>
      <w:r w:rsidRPr="00512BC6">
        <w:rPr>
          <w:rFonts w:cs="Times New Roman"/>
          <w:lang w:val="en-GB"/>
        </w:rPr>
        <w:t xml:space="preserve"> Kyle Chan, Gregory Smith, Jimmy Goodrich, Gerard DiPippo, Konstantin F. Pilz, “China's Evolving </w:t>
      </w:r>
      <w:r w:rsidRPr="00B9553D">
        <w:rPr>
          <w:rFonts w:cs="Times New Roman"/>
          <w:lang w:val="en-GB"/>
        </w:rPr>
        <w:t xml:space="preserve">Industrial Policy for AI”, RAND, June 26, 2025, </w:t>
      </w:r>
      <w:hyperlink r:id="rId22" w:anchor="fn1" w:history="1">
        <w:r w:rsidRPr="00B9553D">
          <w:rPr>
            <w:rStyle w:val="Hyperlink"/>
            <w:rFonts w:cs="Times New Roman"/>
            <w:lang w:val="en-GB"/>
          </w:rPr>
          <w:t>https://www.rand.org/pubs/perspectives/PEA4012-1.html#fn1</w:t>
        </w:r>
      </w:hyperlink>
      <w:r w:rsidRPr="00B9553D">
        <w:rPr>
          <w:rFonts w:cs="Times New Roman"/>
          <w:lang w:val="en-GB"/>
        </w:rPr>
        <w:t xml:space="preserve"> </w:t>
      </w:r>
    </w:p>
  </w:footnote>
  <w:footnote w:id="19">
    <w:p w14:paraId="37CFE6EC" w14:textId="00159BDA" w:rsidR="00853D75" w:rsidRPr="00934AA7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B9553D">
        <w:rPr>
          <w:rStyle w:val="FootnoteReference"/>
          <w:rFonts w:cs="Times New Roman"/>
        </w:rPr>
        <w:footnoteRef/>
      </w:r>
      <w:r w:rsidRPr="00B9553D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>EU</w:t>
      </w:r>
      <w:r w:rsidRPr="00B9553D">
        <w:rPr>
          <w:rFonts w:cs="Times New Roman"/>
          <w:lang w:val="en-GB"/>
        </w:rPr>
        <w:t xml:space="preserve"> Commission, </w:t>
      </w:r>
      <w:r>
        <w:rPr>
          <w:rFonts w:cs="Times New Roman"/>
          <w:lang w:val="en-GB"/>
        </w:rPr>
        <w:t>“</w:t>
      </w:r>
      <w:r w:rsidRPr="00B9553D">
        <w:rPr>
          <w:rFonts w:cs="Times New Roman"/>
          <w:lang w:val="en-GB"/>
        </w:rPr>
        <w:t xml:space="preserve">Roadmap to fully end EU dependency </w:t>
      </w:r>
      <w:r w:rsidRPr="00934AA7">
        <w:rPr>
          <w:rFonts w:cs="Times New Roman"/>
          <w:lang w:val="en-GB"/>
        </w:rPr>
        <w:t xml:space="preserve">on Russian energy”, May 6, 2025, </w:t>
      </w:r>
    </w:p>
    <w:p w14:paraId="727D599D" w14:textId="52C1AC2B" w:rsidR="00853D75" w:rsidRPr="00934AA7" w:rsidRDefault="00853D75" w:rsidP="009003D4">
      <w:pPr>
        <w:pStyle w:val="FootnoteText"/>
        <w:jc w:val="both"/>
        <w:rPr>
          <w:rFonts w:cs="Times New Roman"/>
          <w:lang w:val="en-GB"/>
        </w:rPr>
      </w:pPr>
      <w:hyperlink r:id="rId23" w:history="1">
        <w:r w:rsidRPr="00934AA7">
          <w:rPr>
            <w:rStyle w:val="Hyperlink"/>
            <w:rFonts w:cs="Times New Roman"/>
            <w:lang w:val="en-GB"/>
          </w:rPr>
          <w:t>https://commission.europa.eu/news-and-media/news/roadmap-fully-end-eu-dependency-russian-energy-2025-05-06_en</w:t>
        </w:r>
      </w:hyperlink>
      <w:r w:rsidRPr="00934AA7">
        <w:rPr>
          <w:rFonts w:cs="Times New Roman"/>
          <w:lang w:val="en-GB"/>
        </w:rPr>
        <w:t xml:space="preserve"> </w:t>
      </w:r>
    </w:p>
  </w:footnote>
  <w:footnote w:id="20">
    <w:p w14:paraId="57CEA31C" w14:textId="12F2EA6D" w:rsidR="00853D75" w:rsidRPr="00934AA7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934AA7">
        <w:rPr>
          <w:rStyle w:val="FootnoteReference"/>
          <w:rFonts w:cs="Times New Roman"/>
        </w:rPr>
        <w:footnoteRef/>
      </w:r>
      <w:r w:rsidRPr="00934AA7">
        <w:rPr>
          <w:rFonts w:cs="Times New Roman"/>
          <w:lang w:val="en-GB"/>
        </w:rPr>
        <w:t xml:space="preserve"> NATO, NATO launches 'Baltic Sentry' to increase critical infrastructure security, January 14, 2025</w:t>
      </w:r>
      <w:r>
        <w:rPr>
          <w:rFonts w:cs="Times New Roman"/>
          <w:lang w:val="en-GB"/>
        </w:rPr>
        <w:t>,</w:t>
      </w:r>
      <w:r w:rsidRPr="00934AA7">
        <w:rPr>
          <w:rFonts w:cs="Times New Roman"/>
          <w:lang w:val="en-GB"/>
        </w:rPr>
        <w:t xml:space="preserve"> </w:t>
      </w:r>
      <w:hyperlink r:id="rId24" w:history="1">
        <w:r w:rsidRPr="00934AA7">
          <w:rPr>
            <w:rStyle w:val="Hyperlink"/>
            <w:rFonts w:cs="Times New Roman"/>
            <w:lang w:val="en-GB"/>
          </w:rPr>
          <w:t>https://www.nato.int/cps/en/natohq/news_232122.htm</w:t>
        </w:r>
      </w:hyperlink>
      <w:r w:rsidRPr="00934AA7">
        <w:rPr>
          <w:rFonts w:cs="Times New Roman"/>
          <w:lang w:val="en-GB"/>
        </w:rPr>
        <w:t xml:space="preserve"> </w:t>
      </w:r>
    </w:p>
  </w:footnote>
  <w:footnote w:id="21">
    <w:p w14:paraId="38AF8D7B" w14:textId="0D5068C0" w:rsidR="00853D75" w:rsidRPr="00BA237C" w:rsidRDefault="00853D75" w:rsidP="009003D4">
      <w:pPr>
        <w:pStyle w:val="FootnoteText"/>
        <w:jc w:val="both"/>
        <w:rPr>
          <w:rFonts w:cs="Times New Roman"/>
          <w:lang w:val="en-GB"/>
        </w:rPr>
      </w:pPr>
      <w:r w:rsidRPr="009003D4">
        <w:rPr>
          <w:rStyle w:val="FootnoteReference"/>
          <w:rFonts w:cs="Times New Roman"/>
        </w:rPr>
        <w:footnoteRef/>
      </w:r>
      <w:r w:rsidRPr="009003D4">
        <w:rPr>
          <w:rFonts w:cs="Times New Roman"/>
          <w:lang w:val="en-GB"/>
        </w:rPr>
        <w:t xml:space="preserve"> EU </w:t>
      </w:r>
      <w:r w:rsidRPr="00BA237C">
        <w:rPr>
          <w:rFonts w:cs="Times New Roman"/>
          <w:lang w:val="en-GB"/>
        </w:rPr>
        <w:t xml:space="preserve">Parliament Legislative Observatory, Resolution on tackling China's critical raw materials export restrictions, July 10, 2025 </w:t>
      </w:r>
      <w:hyperlink r:id="rId25" w:history="1">
        <w:r w:rsidRPr="00BA237C">
          <w:rPr>
            <w:rStyle w:val="Hyperlink"/>
            <w:rFonts w:cs="Times New Roman"/>
            <w:lang w:val="en-GB"/>
          </w:rPr>
          <w:t>https://oeil.secure.europarl.europa.eu/oeil/en/procedure-file?reference=2025/2800(RSP)</w:t>
        </w:r>
      </w:hyperlink>
      <w:r w:rsidRPr="00BA237C">
        <w:rPr>
          <w:rFonts w:cs="Times New Roman"/>
          <w:lang w:val="en-GB"/>
        </w:rPr>
        <w:t xml:space="preserve"> </w:t>
      </w:r>
    </w:p>
  </w:footnote>
  <w:footnote w:id="22">
    <w:p w14:paraId="249F21BB" w14:textId="42F7762A" w:rsidR="00853D75" w:rsidRPr="00BA237C" w:rsidRDefault="00853D75" w:rsidP="00F27B32">
      <w:pPr>
        <w:pStyle w:val="FootnoteText"/>
        <w:rPr>
          <w:rFonts w:cs="Times New Roman"/>
          <w:lang w:val="en-GB"/>
        </w:rPr>
      </w:pPr>
      <w:r w:rsidRPr="00BA237C">
        <w:rPr>
          <w:rStyle w:val="FootnoteReference"/>
          <w:rFonts w:cs="Times New Roman"/>
        </w:rPr>
        <w:footnoteRef/>
      </w:r>
      <w:r w:rsidRPr="00BA237C">
        <w:rPr>
          <w:rFonts w:cs="Times New Roman"/>
          <w:lang w:val="en-GB"/>
        </w:rPr>
        <w:t xml:space="preserve"> Maurizio Geri, “A New Strategic Responsibility for the EU: EU-NATO Cooperation against</w:t>
      </w:r>
    </w:p>
    <w:p w14:paraId="7C485215" w14:textId="2DD230B9" w:rsidR="00853D75" w:rsidRPr="000A3A21" w:rsidRDefault="00853D75" w:rsidP="00730FD2">
      <w:pPr>
        <w:pStyle w:val="FootnoteText"/>
        <w:rPr>
          <w:rFonts w:cs="Times New Roman"/>
          <w:lang w:val="en-GB"/>
        </w:rPr>
      </w:pPr>
      <w:r w:rsidRPr="00BA237C">
        <w:rPr>
          <w:rFonts w:cs="Times New Roman"/>
          <w:lang w:val="en-GB"/>
        </w:rPr>
        <w:t xml:space="preserve">Hybrid Warfare from Russia”, The Rest Journal, vol 15, </w:t>
      </w:r>
      <w:r>
        <w:rPr>
          <w:rFonts w:cs="Times New Roman"/>
          <w:lang w:val="en-GB"/>
        </w:rPr>
        <w:t xml:space="preserve">n. 1, </w:t>
      </w:r>
      <w:r w:rsidRPr="00BA237C">
        <w:rPr>
          <w:rFonts w:cs="Times New Roman"/>
          <w:lang w:val="en-GB"/>
        </w:rPr>
        <w:t xml:space="preserve">6-19, Winter 2025 </w:t>
      </w:r>
      <w:hyperlink r:id="rId26" w:history="1">
        <w:r w:rsidRPr="00BA237C">
          <w:rPr>
            <w:rStyle w:val="Hyperlink"/>
            <w:rFonts w:cs="Times New Roman"/>
            <w:lang w:val="en-GB"/>
          </w:rPr>
          <w:t>https://therestjournal.com/wp-content/uploads/2025/02/The-Rest-Vol.-15-No.-1-A-1.pdf</w:t>
        </w:r>
      </w:hyperlink>
      <w:r w:rsidRPr="00BA237C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>. Also: Maurizio Geri, “</w:t>
      </w:r>
      <w:r w:rsidRPr="00730FD2">
        <w:rPr>
          <w:rFonts w:cs="Times New Roman"/>
          <w:lang w:val="en-GB"/>
        </w:rPr>
        <w:t xml:space="preserve">EU-NATO Cooperation and Innovation in Emerging </w:t>
      </w:r>
      <w:r w:rsidRPr="000A3A21">
        <w:rPr>
          <w:rFonts w:cs="Times New Roman"/>
          <w:lang w:val="en-GB"/>
        </w:rPr>
        <w:t xml:space="preserve">Disruptive Technologies to Stop Russian-Chinese Hybrid Warfare in the Energy Transition”, Security and </w:t>
      </w:r>
      <w:proofErr w:type="spellStart"/>
      <w:r w:rsidRPr="000A3A21">
        <w:rPr>
          <w:rFonts w:cs="Times New Roman"/>
          <w:lang w:val="en-GB"/>
        </w:rPr>
        <w:t>Defense</w:t>
      </w:r>
      <w:proofErr w:type="spellEnd"/>
      <w:r w:rsidRPr="000A3A21">
        <w:rPr>
          <w:rFonts w:cs="Times New Roman"/>
          <w:lang w:val="en-GB"/>
        </w:rPr>
        <w:t xml:space="preserve"> journal, n. 2, December 2024,  </w:t>
      </w:r>
      <w:hyperlink r:id="rId27" w:history="1">
        <w:r w:rsidRPr="000A3A21">
          <w:rPr>
            <w:rStyle w:val="Hyperlink"/>
            <w:rFonts w:cs="Times New Roman"/>
            <w:lang w:val="en-GB"/>
          </w:rPr>
          <w:t>https://institute.nvu.bg/en/statia/eu-nato-cooperation-and-innovation-emerging-disruptive-technologies-stop-russian-chinese</w:t>
        </w:r>
      </w:hyperlink>
      <w:r w:rsidRPr="000A3A21">
        <w:rPr>
          <w:rFonts w:cs="Times New Roman"/>
          <w:lang w:val="en-GB"/>
        </w:rPr>
        <w:t xml:space="preserve"> </w:t>
      </w:r>
    </w:p>
  </w:footnote>
  <w:footnote w:id="23">
    <w:p w14:paraId="43614AE5" w14:textId="0FBBAAE8" w:rsidR="00853D75" w:rsidRPr="000A3A21" w:rsidRDefault="00853D75">
      <w:pPr>
        <w:pStyle w:val="FootnoteText"/>
        <w:rPr>
          <w:rFonts w:cs="Times New Roman"/>
          <w:lang w:val="en-GB"/>
        </w:rPr>
      </w:pPr>
      <w:r w:rsidRPr="000A3A21">
        <w:rPr>
          <w:rStyle w:val="FootnoteReference"/>
          <w:rFonts w:cs="Times New Roman"/>
        </w:rPr>
        <w:footnoteRef/>
      </w:r>
      <w:r w:rsidRPr="000A3A21">
        <w:rPr>
          <w:rFonts w:cs="Times New Roman"/>
          <w:lang w:val="en-GB"/>
        </w:rPr>
        <w:t xml:space="preserve"> NATO, Countering hybrid threats, last updated May 7, </w:t>
      </w:r>
      <w:proofErr w:type="gramStart"/>
      <w:r w:rsidRPr="000A3A21">
        <w:rPr>
          <w:rFonts w:cs="Times New Roman"/>
          <w:lang w:val="en-GB"/>
        </w:rPr>
        <w:t>2025</w:t>
      </w:r>
      <w:proofErr w:type="gramEnd"/>
      <w:r w:rsidRPr="000A3A21">
        <w:rPr>
          <w:rFonts w:cs="Times New Roman"/>
          <w:lang w:val="en-GB"/>
        </w:rPr>
        <w:t xml:space="preserve"> </w:t>
      </w:r>
      <w:hyperlink r:id="rId28" w:history="1">
        <w:r w:rsidRPr="000A3A21">
          <w:rPr>
            <w:rStyle w:val="Hyperlink"/>
            <w:rFonts w:cs="Times New Roman"/>
            <w:lang w:val="en-GB"/>
          </w:rPr>
          <w:t>https://www.nato.int/cps/en/natohq/topics_156338.htm</w:t>
        </w:r>
      </w:hyperlink>
      <w:r w:rsidRPr="000A3A21">
        <w:rPr>
          <w:rFonts w:cs="Times New Roman"/>
          <w:lang w:val="en-GB"/>
        </w:rPr>
        <w:t xml:space="preserve"> </w:t>
      </w:r>
    </w:p>
  </w:footnote>
  <w:footnote w:id="24">
    <w:p w14:paraId="3D207177" w14:textId="1EBE55C4" w:rsidR="00853D75" w:rsidRPr="000A3A21" w:rsidRDefault="00853D75">
      <w:pPr>
        <w:pStyle w:val="FootnoteText"/>
        <w:rPr>
          <w:rFonts w:cs="Times New Roman"/>
          <w:lang w:val="en-GB"/>
        </w:rPr>
      </w:pPr>
      <w:r w:rsidRPr="000A3A21">
        <w:rPr>
          <w:rStyle w:val="FootnoteReference"/>
          <w:rFonts w:cs="Times New Roman"/>
        </w:rPr>
        <w:footnoteRef/>
      </w:r>
      <w:r w:rsidRPr="000A3A21">
        <w:rPr>
          <w:rFonts w:cs="Times New Roman"/>
          <w:lang w:val="en-GB"/>
        </w:rPr>
        <w:t xml:space="preserve"> NATO, Joint Declaration on EU-NATO Cooperation, last updated January 9, </w:t>
      </w:r>
      <w:proofErr w:type="gramStart"/>
      <w:r w:rsidRPr="000A3A21">
        <w:rPr>
          <w:rFonts w:cs="Times New Roman"/>
          <w:lang w:val="en-GB"/>
        </w:rPr>
        <w:t>2025</w:t>
      </w:r>
      <w:proofErr w:type="gramEnd"/>
      <w:r w:rsidRPr="000A3A21">
        <w:rPr>
          <w:rFonts w:cs="Times New Roman"/>
          <w:lang w:val="en-GB"/>
        </w:rPr>
        <w:t xml:space="preserve">  </w:t>
      </w:r>
      <w:hyperlink r:id="rId29" w:history="1">
        <w:r w:rsidRPr="000A3A21">
          <w:rPr>
            <w:rStyle w:val="Hyperlink"/>
            <w:rFonts w:cs="Times New Roman"/>
            <w:lang w:val="en-GB"/>
          </w:rPr>
          <w:t>https://www.nato.int/cps/en/natohq/official_texts_210549.htm</w:t>
        </w:r>
      </w:hyperlink>
      <w:r w:rsidRPr="000A3A21">
        <w:rPr>
          <w:rFonts w:cs="Times New Roman"/>
          <w:lang w:val="en-GB"/>
        </w:rPr>
        <w:t xml:space="preserve"> </w:t>
      </w:r>
    </w:p>
  </w:footnote>
  <w:footnote w:id="25">
    <w:p w14:paraId="712ADF5B" w14:textId="734BB1EC" w:rsidR="00853D75" w:rsidRPr="000A3A21" w:rsidRDefault="00853D75">
      <w:pPr>
        <w:pStyle w:val="FootnoteText"/>
        <w:rPr>
          <w:rFonts w:cs="Times New Roman"/>
          <w:lang w:val="en-GB"/>
        </w:rPr>
      </w:pPr>
      <w:r w:rsidRPr="000A3A21">
        <w:rPr>
          <w:rStyle w:val="FootnoteReference"/>
          <w:rFonts w:cs="Times New Roman"/>
        </w:rPr>
        <w:footnoteRef/>
      </w:r>
      <w:r w:rsidRPr="000A3A21">
        <w:rPr>
          <w:rFonts w:cs="Times New Roman"/>
          <w:lang w:val="en-GB"/>
        </w:rPr>
        <w:t xml:space="preserve"> NATO, NATO and the EU set up taskforce on resilience and critical infrastructure, last updated January 11, 2023, </w:t>
      </w:r>
      <w:hyperlink r:id="rId30" w:history="1">
        <w:r w:rsidRPr="000A3A21">
          <w:rPr>
            <w:rStyle w:val="Hyperlink"/>
            <w:rFonts w:cs="Times New Roman"/>
            <w:lang w:val="en-GB"/>
          </w:rPr>
          <w:t>https://www.nato.int/cps/en/natohq/news_210611.htm</w:t>
        </w:r>
      </w:hyperlink>
      <w:r w:rsidRPr="000A3A21">
        <w:rPr>
          <w:rFonts w:cs="Times New Roman"/>
          <w:lang w:val="en-GB"/>
        </w:rPr>
        <w:t xml:space="preserve"> </w:t>
      </w:r>
    </w:p>
  </w:footnote>
  <w:footnote w:id="26">
    <w:p w14:paraId="627FADDE" w14:textId="1318BBBF" w:rsidR="00853D75" w:rsidRPr="006D6F70" w:rsidRDefault="00853D75" w:rsidP="006D6F70">
      <w:pPr>
        <w:pStyle w:val="FootnoteText"/>
        <w:jc w:val="both"/>
        <w:rPr>
          <w:rFonts w:cs="Times New Roman"/>
          <w:lang w:val="en-GB"/>
        </w:rPr>
      </w:pPr>
      <w:r>
        <w:rPr>
          <w:rStyle w:val="FootnoteReference"/>
        </w:rPr>
        <w:footnoteRef/>
      </w:r>
      <w:r w:rsidRPr="00A72F35">
        <w:rPr>
          <w:lang w:val="en-GB"/>
        </w:rPr>
        <w:t xml:space="preserve"> </w:t>
      </w:r>
      <w:r w:rsidRPr="006D6F70">
        <w:rPr>
          <w:rFonts w:cs="Times New Roman"/>
          <w:lang w:val="en-GB"/>
        </w:rPr>
        <w:t xml:space="preserve">Redefining Defence Innovation: An industry blueprint for NATO’s Rapid Adoption Action Plan, Digital Europe, February 2025, </w:t>
      </w:r>
      <w:hyperlink r:id="rId31" w:history="1">
        <w:r w:rsidRPr="006D6F70">
          <w:rPr>
            <w:rStyle w:val="Hyperlink"/>
            <w:rFonts w:cs="Times New Roman"/>
            <w:lang w:val="en-GB"/>
          </w:rPr>
          <w:t>https://cdn.digitaleurope.org/uploads/2025/02/DIGITALEUROPE-ROADMAP-FOR-NATO-FINAL-WEB.pdf</w:t>
        </w:r>
      </w:hyperlink>
      <w:r w:rsidRPr="006D6F70">
        <w:rPr>
          <w:rFonts w:cs="Times New Roman"/>
          <w:lang w:val="en-GB"/>
        </w:rPr>
        <w:t xml:space="preserve"> </w:t>
      </w:r>
    </w:p>
  </w:footnote>
  <w:footnote w:id="27">
    <w:p w14:paraId="38D7434B" w14:textId="2AFC1124" w:rsidR="00853D75" w:rsidRPr="006D6F70" w:rsidRDefault="00853D75">
      <w:pPr>
        <w:pStyle w:val="FootnoteText"/>
        <w:rPr>
          <w:rFonts w:cs="Times New Roman"/>
          <w:lang w:val="en-GB"/>
        </w:rPr>
      </w:pPr>
      <w:r w:rsidRPr="006D6F70">
        <w:rPr>
          <w:rStyle w:val="FootnoteReference"/>
          <w:rFonts w:cs="Times New Roman"/>
        </w:rPr>
        <w:footnoteRef/>
      </w:r>
      <w:r w:rsidRPr="006D6F70">
        <w:rPr>
          <w:rFonts w:cs="Times New Roman"/>
          <w:lang w:val="en-GB"/>
        </w:rPr>
        <w:t xml:space="preserve"> NATO, Defence Innovation Accelerator for the North Atlantic, </w:t>
      </w:r>
      <w:hyperlink r:id="rId32" w:history="1">
        <w:r w:rsidRPr="006D6F70">
          <w:rPr>
            <w:rStyle w:val="Hyperlink"/>
            <w:rFonts w:cs="Times New Roman"/>
            <w:lang w:val="en-GB"/>
          </w:rPr>
          <w:t>https://www.diana.nato.int/</w:t>
        </w:r>
      </w:hyperlink>
      <w:r w:rsidRPr="006D6F70">
        <w:rPr>
          <w:rFonts w:cs="Times New Roman"/>
          <w:lang w:val="en-GB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0B"/>
    <w:rsid w:val="00011889"/>
    <w:rsid w:val="00011D07"/>
    <w:rsid w:val="00021ADC"/>
    <w:rsid w:val="00037846"/>
    <w:rsid w:val="0004582E"/>
    <w:rsid w:val="000474DD"/>
    <w:rsid w:val="000760E7"/>
    <w:rsid w:val="000A3A21"/>
    <w:rsid w:val="000B17B4"/>
    <w:rsid w:val="000D5349"/>
    <w:rsid w:val="000D719C"/>
    <w:rsid w:val="000E4546"/>
    <w:rsid w:val="001007FE"/>
    <w:rsid w:val="00102F26"/>
    <w:rsid w:val="00125D04"/>
    <w:rsid w:val="00132308"/>
    <w:rsid w:val="001410A8"/>
    <w:rsid w:val="00160C50"/>
    <w:rsid w:val="00170790"/>
    <w:rsid w:val="00193C71"/>
    <w:rsid w:val="001A707C"/>
    <w:rsid w:val="001C4F63"/>
    <w:rsid w:val="001C5550"/>
    <w:rsid w:val="001D226A"/>
    <w:rsid w:val="001F0FD2"/>
    <w:rsid w:val="001F1B48"/>
    <w:rsid w:val="001F1B95"/>
    <w:rsid w:val="00200732"/>
    <w:rsid w:val="00226CD2"/>
    <w:rsid w:val="00226E6C"/>
    <w:rsid w:val="00250248"/>
    <w:rsid w:val="00253F61"/>
    <w:rsid w:val="002626A1"/>
    <w:rsid w:val="00265E8F"/>
    <w:rsid w:val="00290426"/>
    <w:rsid w:val="002A428A"/>
    <w:rsid w:val="002D206E"/>
    <w:rsid w:val="002D26C5"/>
    <w:rsid w:val="002D4ABE"/>
    <w:rsid w:val="003028BB"/>
    <w:rsid w:val="0031739E"/>
    <w:rsid w:val="003329C4"/>
    <w:rsid w:val="0033530C"/>
    <w:rsid w:val="003373E4"/>
    <w:rsid w:val="00360DB3"/>
    <w:rsid w:val="003613CE"/>
    <w:rsid w:val="003946E9"/>
    <w:rsid w:val="00397BB0"/>
    <w:rsid w:val="003A25E2"/>
    <w:rsid w:val="003B6573"/>
    <w:rsid w:val="003B7450"/>
    <w:rsid w:val="003C6655"/>
    <w:rsid w:val="003D3645"/>
    <w:rsid w:val="00435860"/>
    <w:rsid w:val="00452E36"/>
    <w:rsid w:val="004726A4"/>
    <w:rsid w:val="004928AA"/>
    <w:rsid w:val="004966D9"/>
    <w:rsid w:val="004A4E6D"/>
    <w:rsid w:val="004C38AE"/>
    <w:rsid w:val="004E1997"/>
    <w:rsid w:val="004E30D4"/>
    <w:rsid w:val="005024C7"/>
    <w:rsid w:val="00512BC6"/>
    <w:rsid w:val="0051519B"/>
    <w:rsid w:val="00515F49"/>
    <w:rsid w:val="00525794"/>
    <w:rsid w:val="005447F6"/>
    <w:rsid w:val="0055488C"/>
    <w:rsid w:val="0056394B"/>
    <w:rsid w:val="005715E2"/>
    <w:rsid w:val="005726F1"/>
    <w:rsid w:val="00583AA8"/>
    <w:rsid w:val="005841BA"/>
    <w:rsid w:val="00595222"/>
    <w:rsid w:val="005B0B0F"/>
    <w:rsid w:val="005B474E"/>
    <w:rsid w:val="005B6A89"/>
    <w:rsid w:val="005D4009"/>
    <w:rsid w:val="005F41E0"/>
    <w:rsid w:val="005F4F61"/>
    <w:rsid w:val="006410AB"/>
    <w:rsid w:val="006655D4"/>
    <w:rsid w:val="006804F0"/>
    <w:rsid w:val="006820DC"/>
    <w:rsid w:val="00684FA8"/>
    <w:rsid w:val="006A143D"/>
    <w:rsid w:val="006D6F70"/>
    <w:rsid w:val="006E5EAE"/>
    <w:rsid w:val="006F36B4"/>
    <w:rsid w:val="006F640C"/>
    <w:rsid w:val="006F76CC"/>
    <w:rsid w:val="007003D7"/>
    <w:rsid w:val="007240BF"/>
    <w:rsid w:val="00730FD2"/>
    <w:rsid w:val="007330C7"/>
    <w:rsid w:val="00737A0B"/>
    <w:rsid w:val="007422E0"/>
    <w:rsid w:val="0074272A"/>
    <w:rsid w:val="007737D8"/>
    <w:rsid w:val="007C07BA"/>
    <w:rsid w:val="007C3B61"/>
    <w:rsid w:val="007E7908"/>
    <w:rsid w:val="007F3BF3"/>
    <w:rsid w:val="007F52B7"/>
    <w:rsid w:val="0080681B"/>
    <w:rsid w:val="00812AE2"/>
    <w:rsid w:val="00816E4B"/>
    <w:rsid w:val="0083324E"/>
    <w:rsid w:val="0084779B"/>
    <w:rsid w:val="00853D75"/>
    <w:rsid w:val="00864C2E"/>
    <w:rsid w:val="00864DFC"/>
    <w:rsid w:val="00866D2B"/>
    <w:rsid w:val="0087183D"/>
    <w:rsid w:val="008B26FD"/>
    <w:rsid w:val="008D063E"/>
    <w:rsid w:val="008D6DA4"/>
    <w:rsid w:val="008E1620"/>
    <w:rsid w:val="008E5723"/>
    <w:rsid w:val="008F6813"/>
    <w:rsid w:val="009003D4"/>
    <w:rsid w:val="00934AA7"/>
    <w:rsid w:val="009370F3"/>
    <w:rsid w:val="00940898"/>
    <w:rsid w:val="00963E89"/>
    <w:rsid w:val="00966031"/>
    <w:rsid w:val="00967685"/>
    <w:rsid w:val="009A7943"/>
    <w:rsid w:val="009B24AB"/>
    <w:rsid w:val="009B4B1B"/>
    <w:rsid w:val="009D19E8"/>
    <w:rsid w:val="009F6D95"/>
    <w:rsid w:val="00A01E74"/>
    <w:rsid w:val="00A06B79"/>
    <w:rsid w:val="00A07018"/>
    <w:rsid w:val="00A14163"/>
    <w:rsid w:val="00A257D9"/>
    <w:rsid w:val="00A46B34"/>
    <w:rsid w:val="00A46DB1"/>
    <w:rsid w:val="00A64292"/>
    <w:rsid w:val="00A7066E"/>
    <w:rsid w:val="00A72F35"/>
    <w:rsid w:val="00A7728D"/>
    <w:rsid w:val="00AA261E"/>
    <w:rsid w:val="00AC341F"/>
    <w:rsid w:val="00AD0F0A"/>
    <w:rsid w:val="00AD494A"/>
    <w:rsid w:val="00AE22D7"/>
    <w:rsid w:val="00B07644"/>
    <w:rsid w:val="00B26092"/>
    <w:rsid w:val="00B426B8"/>
    <w:rsid w:val="00B520F3"/>
    <w:rsid w:val="00B557C1"/>
    <w:rsid w:val="00B73C2B"/>
    <w:rsid w:val="00B82FFD"/>
    <w:rsid w:val="00B9553D"/>
    <w:rsid w:val="00BA237C"/>
    <w:rsid w:val="00BA288C"/>
    <w:rsid w:val="00BA5E40"/>
    <w:rsid w:val="00BA67CA"/>
    <w:rsid w:val="00BB6490"/>
    <w:rsid w:val="00BC4DFD"/>
    <w:rsid w:val="00BD3504"/>
    <w:rsid w:val="00BE1B06"/>
    <w:rsid w:val="00BE4B81"/>
    <w:rsid w:val="00BF69EE"/>
    <w:rsid w:val="00C008FA"/>
    <w:rsid w:val="00C118A1"/>
    <w:rsid w:val="00C237B8"/>
    <w:rsid w:val="00C41ED6"/>
    <w:rsid w:val="00C527A6"/>
    <w:rsid w:val="00C61B16"/>
    <w:rsid w:val="00C75A62"/>
    <w:rsid w:val="00CD0075"/>
    <w:rsid w:val="00CE549D"/>
    <w:rsid w:val="00CF2D19"/>
    <w:rsid w:val="00CF737C"/>
    <w:rsid w:val="00D0558A"/>
    <w:rsid w:val="00D14FF4"/>
    <w:rsid w:val="00D262A8"/>
    <w:rsid w:val="00D27A9B"/>
    <w:rsid w:val="00D65A45"/>
    <w:rsid w:val="00D71286"/>
    <w:rsid w:val="00D716CA"/>
    <w:rsid w:val="00DD48A5"/>
    <w:rsid w:val="00DD4D2B"/>
    <w:rsid w:val="00DD5943"/>
    <w:rsid w:val="00DD7427"/>
    <w:rsid w:val="00DE3B44"/>
    <w:rsid w:val="00E33995"/>
    <w:rsid w:val="00ED4961"/>
    <w:rsid w:val="00F27B32"/>
    <w:rsid w:val="00F31C37"/>
    <w:rsid w:val="00F37ED0"/>
    <w:rsid w:val="00F441B7"/>
    <w:rsid w:val="00F54720"/>
    <w:rsid w:val="00F57DB4"/>
    <w:rsid w:val="00F65788"/>
    <w:rsid w:val="00F76E01"/>
    <w:rsid w:val="00F85C11"/>
    <w:rsid w:val="00F91559"/>
    <w:rsid w:val="00F92C7C"/>
    <w:rsid w:val="00F95AD4"/>
    <w:rsid w:val="00FA61B2"/>
    <w:rsid w:val="00FB4A83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945E"/>
  <w15:chartTrackingRefBased/>
  <w15:docId w15:val="{09BBCDE7-6157-401C-8170-9B561A9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E0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2E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2E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2E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2E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2E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2E0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A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A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A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noteText"/>
    <w:autoRedefine/>
    <w:qFormat/>
    <w:rsid w:val="007422E0"/>
    <w:rPr>
      <w:rFonts w:cs="Times New Roman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E0"/>
    <w:pPr>
      <w:spacing w:line="240" w:lineRule="auto"/>
    </w:pPr>
    <w:rPr>
      <w:rFonts w:ascii="Times New Roman" w:hAnsi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E0"/>
    <w:rPr>
      <w:rFonts w:ascii="Times New Roman" w:eastAsia="Arial" w:hAnsi="Times New Roman" w:cs="Arial"/>
      <w:kern w:val="0"/>
      <w:sz w:val="18"/>
      <w:szCs w:val="20"/>
      <w:lang w:val="en" w:eastAsia="fr-BE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422E0"/>
    <w:rPr>
      <w:rFonts w:ascii="Arial" w:eastAsia="Arial" w:hAnsi="Arial" w:cs="Arial"/>
      <w:kern w:val="0"/>
      <w:sz w:val="40"/>
      <w:szCs w:val="40"/>
      <w:lang w:val="en" w:eastAsia="fr-B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22E0"/>
    <w:rPr>
      <w:rFonts w:ascii="Arial" w:eastAsia="Arial" w:hAnsi="Arial" w:cs="Arial"/>
      <w:kern w:val="0"/>
      <w:sz w:val="32"/>
      <w:szCs w:val="32"/>
      <w:lang w:val="en" w:eastAsia="fr-B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2E0"/>
    <w:rPr>
      <w:rFonts w:ascii="Arial" w:eastAsia="Arial" w:hAnsi="Arial" w:cs="Arial"/>
      <w:color w:val="434343"/>
      <w:kern w:val="0"/>
      <w:sz w:val="28"/>
      <w:szCs w:val="28"/>
      <w:lang w:val="en" w:eastAsia="fr-B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2E0"/>
    <w:rPr>
      <w:rFonts w:ascii="Arial" w:eastAsia="Arial" w:hAnsi="Arial" w:cs="Arial"/>
      <w:color w:val="666666"/>
      <w:kern w:val="0"/>
      <w:lang w:val="en" w:eastAsia="fr-B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2E0"/>
    <w:rPr>
      <w:rFonts w:ascii="Arial" w:eastAsia="Arial" w:hAnsi="Arial" w:cs="Arial"/>
      <w:color w:val="666666"/>
      <w:kern w:val="0"/>
      <w:sz w:val="22"/>
      <w:szCs w:val="22"/>
      <w:lang w:val="en" w:eastAsia="fr-B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2E0"/>
    <w:rPr>
      <w:rFonts w:ascii="Arial" w:eastAsia="Arial" w:hAnsi="Arial" w:cs="Arial"/>
      <w:i/>
      <w:color w:val="666666"/>
      <w:kern w:val="0"/>
      <w:sz w:val="22"/>
      <w:szCs w:val="22"/>
      <w:lang w:val="en" w:eastAsia="fr-BE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742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E0"/>
    <w:rPr>
      <w:rFonts w:ascii="Arial" w:eastAsia="Arial" w:hAnsi="Arial" w:cs="Arial"/>
      <w:kern w:val="0"/>
      <w:sz w:val="20"/>
      <w:szCs w:val="20"/>
      <w:lang w:val="en" w:eastAsia="fr-B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422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22E0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422E0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22E0"/>
    <w:rPr>
      <w:rFonts w:ascii="Arial" w:eastAsia="Arial" w:hAnsi="Arial" w:cs="Arial"/>
      <w:kern w:val="0"/>
      <w:sz w:val="52"/>
      <w:szCs w:val="52"/>
      <w:lang w:val="en" w:eastAsia="fr-B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2E0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422E0"/>
    <w:rPr>
      <w:rFonts w:ascii="Arial" w:eastAsia="Arial" w:hAnsi="Arial" w:cs="Arial"/>
      <w:color w:val="666666"/>
      <w:kern w:val="0"/>
      <w:sz w:val="30"/>
      <w:szCs w:val="30"/>
      <w:lang w:val="en" w:eastAsia="fr-BE"/>
      <w14:ligatures w14:val="none"/>
    </w:rPr>
  </w:style>
  <w:style w:type="character" w:styleId="Hyperlink">
    <w:name w:val="Hyperlink"/>
    <w:basedOn w:val="DefaultParagraphFont"/>
    <w:uiPriority w:val="99"/>
    <w:unhideWhenUsed/>
    <w:rsid w:val="007422E0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7422E0"/>
    <w:rPr>
      <w:b/>
      <w:bCs/>
    </w:rPr>
  </w:style>
  <w:style w:type="paragraph" w:styleId="NormalWeb">
    <w:name w:val="Normal (Web)"/>
    <w:basedOn w:val="Normal"/>
    <w:uiPriority w:val="99"/>
    <w:unhideWhenUsed/>
    <w:rsid w:val="0074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2E0"/>
    <w:rPr>
      <w:rFonts w:ascii="Arial" w:eastAsia="Arial" w:hAnsi="Arial" w:cs="Arial"/>
      <w:b/>
      <w:bCs/>
      <w:kern w:val="0"/>
      <w:sz w:val="20"/>
      <w:szCs w:val="20"/>
      <w:lang w:val="en" w:eastAsia="fr-BE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7422E0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7422E0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A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A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A0B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737A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A0B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D27A9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27A9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7A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3F6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F61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253F6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F61"/>
    <w:rPr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0D71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pc.eu/publication/Hybrid-storm-rising-Russia-and-Chinas-axis-against-democracy-64b158/" TargetMode="External"/><Relationship Id="rId13" Type="http://schemas.openxmlformats.org/officeDocument/2006/relationships/hyperlink" Target="https://commission.europa.eu/news/commission-presents-european-internal-security-strategy-2025-04-01_en" TargetMode="External"/><Relationship Id="rId18" Type="http://schemas.openxmlformats.org/officeDocument/2006/relationships/hyperlink" Target="https://www.foreignaffairs.com/china/have-chinas-wolf-warriors-gone-extinct" TargetMode="External"/><Relationship Id="rId26" Type="http://schemas.openxmlformats.org/officeDocument/2006/relationships/hyperlink" Target="https://therestjournal.com/wp-content/uploads/2025/02/The-Rest-Vol.-15-No.-1-A-1.pdf" TargetMode="External"/><Relationship Id="rId3" Type="http://schemas.openxmlformats.org/officeDocument/2006/relationships/hyperlink" Target="https://digitalcommons.usf.edu/jss/vol17/iss3/2/" TargetMode="External"/><Relationship Id="rId21" Type="http://schemas.openxmlformats.org/officeDocument/2006/relationships/hyperlink" Target="https://unfccc.int/documents/613780" TargetMode="External"/><Relationship Id="rId7" Type="http://schemas.openxmlformats.org/officeDocument/2006/relationships/hyperlink" Target="https://neweasterneurope.eu/2025/06/13/russias-hybrid-war-on-natos-eastern-flank-quietly-escalates/" TargetMode="External"/><Relationship Id="rId12" Type="http://schemas.openxmlformats.org/officeDocument/2006/relationships/hyperlink" Target="https://www.nato.int/cps/en/natohq/topics_184303.htm" TargetMode="External"/><Relationship Id="rId17" Type="http://schemas.openxmlformats.org/officeDocument/2006/relationships/hyperlink" Target="https://yalebooks.yale.edu/book/9780300270419/the-weaponisation-of-everything/" TargetMode="External"/><Relationship Id="rId25" Type="http://schemas.openxmlformats.org/officeDocument/2006/relationships/hyperlink" Target="https://oeil.secure.europarl.europa.eu/oeil/en/procedure-file?reference=2025/2800(RSP)" TargetMode="External"/><Relationship Id="rId2" Type="http://schemas.openxmlformats.org/officeDocument/2006/relationships/hyperlink" Target="https://www.nato.int/docu/review/articles/2024/04/26/russias-hybrid-war-against-the-west/index.html" TargetMode="External"/><Relationship Id="rId16" Type="http://schemas.openxmlformats.org/officeDocument/2006/relationships/hyperlink" Target="https://www.nato.int/cps/en/natohq/topics_156338.htm" TargetMode="External"/><Relationship Id="rId20" Type="http://schemas.openxmlformats.org/officeDocument/2006/relationships/hyperlink" Target="https://www.economist.com/business/2024/04/11/generative-ai-has-a-clean-energy-problem" TargetMode="External"/><Relationship Id="rId29" Type="http://schemas.openxmlformats.org/officeDocument/2006/relationships/hyperlink" Target="https://www.nato.int/cps/en/natohq/official_texts_210549.htm" TargetMode="External"/><Relationship Id="rId1" Type="http://schemas.openxmlformats.org/officeDocument/2006/relationships/hyperlink" Target="https://www.rusi.org/explore-our-research/publications/special-resources/threat-russias-unconventional-warfare-beyond-ukraine-2022-24" TargetMode="External"/><Relationship Id="rId6" Type="http://schemas.openxmlformats.org/officeDocument/2006/relationships/hyperlink" Target="https://www.atlanticcouncil.org/blogs/ukrainealert/russian-hybrid-warfare-europe-should-study-ukraines-unique-experience/" TargetMode="External"/><Relationship Id="rId11" Type="http://schemas.openxmlformats.org/officeDocument/2006/relationships/hyperlink" Target="https://www.nato.int/cps/en/natohq/official_texts_236539.htm" TargetMode="External"/><Relationship Id="rId24" Type="http://schemas.openxmlformats.org/officeDocument/2006/relationships/hyperlink" Target="https://www.nato.int/cps/en/natohq/news_232122.htm" TargetMode="External"/><Relationship Id="rId32" Type="http://schemas.openxmlformats.org/officeDocument/2006/relationships/hyperlink" Target="https://www.diana.nato.int/" TargetMode="External"/><Relationship Id="rId5" Type="http://schemas.openxmlformats.org/officeDocument/2006/relationships/hyperlink" Target="https://www.bbc.com/news/articles/c62v63gl8rvo" TargetMode="External"/><Relationship Id="rId15" Type="http://schemas.openxmlformats.org/officeDocument/2006/relationships/hyperlink" Target="https://www.atlanticcouncil.org/blogs/new-atlanticist/todays-wars-are-fought-in-the-gray-zone-heres-everything-you-need-to-know-about-it/" TargetMode="External"/><Relationship Id="rId23" Type="http://schemas.openxmlformats.org/officeDocument/2006/relationships/hyperlink" Target="https://commission.europa.eu/news-and-media/news/roadmap-fully-end-eu-dependency-russian-energy-2025-05-06_en" TargetMode="External"/><Relationship Id="rId28" Type="http://schemas.openxmlformats.org/officeDocument/2006/relationships/hyperlink" Target="https://www.nato.int/cps/en/natohq/topics_156338.htm" TargetMode="External"/><Relationship Id="rId10" Type="http://schemas.openxmlformats.org/officeDocument/2006/relationships/hyperlink" Target="https://www.nato.int/cps/en/natohq/topics_156338.htm" TargetMode="External"/><Relationship Id="rId19" Type="http://schemas.openxmlformats.org/officeDocument/2006/relationships/hyperlink" Target="https://www.nato.int/cps/en/natohq/topics_184303.htm" TargetMode="External"/><Relationship Id="rId31" Type="http://schemas.openxmlformats.org/officeDocument/2006/relationships/hyperlink" Target="https://cdn.digitaleurope.org/uploads/2025/02/DIGITALEUROPE-ROADMAP-FOR-NATO-FINAL-WEB.pdf" TargetMode="External"/><Relationship Id="rId4" Type="http://schemas.openxmlformats.org/officeDocument/2006/relationships/hyperlink" Target="https://jamestown.org/program/hybrid-threats-and-modern-political-warfare-the-architecture-of-cross-domain-conflict/" TargetMode="External"/><Relationship Id="rId9" Type="http://schemas.openxmlformats.org/officeDocument/2006/relationships/hyperlink" Target="https://smallwarsjournal.com/jrnl/art/utilization-dimefil-framework-case-study-analysis-security-cooperation-success" TargetMode="External"/><Relationship Id="rId14" Type="http://schemas.openxmlformats.org/officeDocument/2006/relationships/hyperlink" Target="https://www.nato.int/cps/en/natohq/opinions_232125.htm" TargetMode="External"/><Relationship Id="rId22" Type="http://schemas.openxmlformats.org/officeDocument/2006/relationships/hyperlink" Target="https://www.rand.org/pubs/perspectives/PEA4012-1.html" TargetMode="External"/><Relationship Id="rId27" Type="http://schemas.openxmlformats.org/officeDocument/2006/relationships/hyperlink" Target="https://institute.nvu.bg/en/statia/eu-nato-cooperation-and-innovation-emerging-disruptive-technologies-stop-russian-chinese" TargetMode="External"/><Relationship Id="rId30" Type="http://schemas.openxmlformats.org/officeDocument/2006/relationships/hyperlink" Target="https://www.nato.int/cps/en/natohq/news_2106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CB11-C83A-4E3B-9D6D-E337CBE6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Geri</dc:creator>
  <cp:keywords/>
  <dc:description/>
  <cp:lastModifiedBy>maurizio geri</cp:lastModifiedBy>
  <cp:revision>120</cp:revision>
  <dcterms:created xsi:type="dcterms:W3CDTF">2025-07-10T11:44:00Z</dcterms:created>
  <dcterms:modified xsi:type="dcterms:W3CDTF">2025-07-18T09:44:00Z</dcterms:modified>
</cp:coreProperties>
</file>