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577" w:rsidRPr="006A1884" w:rsidRDefault="00F43E06" w:rsidP="00683A6B">
      <w:pPr>
        <w:jc w:val="both"/>
        <w:rPr>
          <w:rFonts w:ascii="Arial" w:hAnsi="Arial" w:cs="Arial"/>
          <w:sz w:val="24"/>
          <w:szCs w:val="24"/>
          <w:lang w:val="es-VE"/>
        </w:rPr>
      </w:pPr>
      <w:r w:rsidRPr="006A1884">
        <w:rPr>
          <w:rFonts w:ascii="Arial" w:hAnsi="Arial" w:cs="Arial"/>
          <w:b/>
          <w:bCs/>
          <w:sz w:val="24"/>
          <w:szCs w:val="24"/>
          <w:lang w:val="es-VE"/>
        </w:rPr>
        <w:t xml:space="preserve">Autor: </w:t>
      </w:r>
      <w:r w:rsidRPr="006A1884">
        <w:rPr>
          <w:rFonts w:ascii="Arial" w:hAnsi="Arial" w:cs="Arial"/>
          <w:sz w:val="24"/>
          <w:szCs w:val="24"/>
          <w:lang w:val="es-VE"/>
        </w:rPr>
        <w:t>Manuel Alejandro Felipe Ramírez</w:t>
      </w:r>
    </w:p>
    <w:p w:rsidR="00AA6577" w:rsidRPr="006A1884" w:rsidRDefault="00F43E06" w:rsidP="00683A6B">
      <w:pPr>
        <w:jc w:val="both"/>
        <w:rPr>
          <w:rFonts w:ascii="Arial" w:hAnsi="Arial" w:cs="Arial"/>
          <w:sz w:val="24"/>
          <w:szCs w:val="24"/>
          <w:lang w:val="es-VE"/>
        </w:rPr>
      </w:pPr>
      <w:r w:rsidRPr="006A1884">
        <w:rPr>
          <w:rFonts w:ascii="Arial" w:hAnsi="Arial" w:cs="Arial"/>
          <w:b/>
          <w:bCs/>
          <w:sz w:val="24"/>
          <w:szCs w:val="24"/>
          <w:lang w:val="es-VE"/>
        </w:rPr>
        <w:t>Grado científico:</w:t>
      </w:r>
      <w:r w:rsidRPr="006A1884">
        <w:rPr>
          <w:rFonts w:ascii="Arial" w:hAnsi="Arial" w:cs="Arial"/>
          <w:sz w:val="24"/>
          <w:szCs w:val="24"/>
          <w:lang w:val="es-VE"/>
        </w:rPr>
        <w:t xml:space="preserve"> Máster </w:t>
      </w:r>
    </w:p>
    <w:p w:rsidR="00AA6577" w:rsidRPr="006A1884" w:rsidRDefault="00F43E06" w:rsidP="00683A6B">
      <w:pPr>
        <w:jc w:val="both"/>
        <w:rPr>
          <w:rFonts w:ascii="Arial" w:hAnsi="Arial" w:cs="Arial"/>
          <w:sz w:val="24"/>
          <w:szCs w:val="24"/>
          <w:lang w:val="es-VE"/>
        </w:rPr>
      </w:pPr>
      <w:r w:rsidRPr="006A1884">
        <w:rPr>
          <w:rFonts w:ascii="Arial" w:hAnsi="Arial" w:cs="Arial"/>
          <w:b/>
          <w:bCs/>
          <w:sz w:val="24"/>
          <w:szCs w:val="24"/>
          <w:lang w:val="es-VE"/>
        </w:rPr>
        <w:t>Centro</w:t>
      </w:r>
      <w:r w:rsidRPr="006A1884">
        <w:rPr>
          <w:rFonts w:ascii="Arial" w:hAnsi="Arial" w:cs="Arial"/>
          <w:sz w:val="24"/>
          <w:szCs w:val="24"/>
          <w:lang w:val="es-VE"/>
        </w:rPr>
        <w:t>: Departamento de Marxismo de la Universidad de Pinar del R</w:t>
      </w:r>
      <w:r w:rsidRPr="006A1884">
        <w:rPr>
          <w:rFonts w:ascii="Arial" w:hAnsi="Arial" w:cs="Arial"/>
          <w:sz w:val="24"/>
          <w:szCs w:val="24"/>
          <w:lang w:val="es-VE"/>
        </w:rPr>
        <w:t xml:space="preserve">ío </w:t>
      </w:r>
      <w:r w:rsidRPr="006A1884">
        <w:rPr>
          <w:rFonts w:ascii="Arial" w:hAnsi="Arial" w:cs="Arial"/>
          <w:sz w:val="24"/>
          <w:szCs w:val="24"/>
          <w:lang w:val="es-VE"/>
        </w:rPr>
        <w:t>"Hermanos Saiz Montes de Oca"</w:t>
      </w:r>
    </w:p>
    <w:p w:rsidR="00AA6577" w:rsidRPr="006A1884" w:rsidRDefault="00F43E06" w:rsidP="00683A6B">
      <w:pPr>
        <w:jc w:val="both"/>
        <w:rPr>
          <w:rFonts w:ascii="Arial" w:hAnsi="Arial" w:cs="Arial"/>
          <w:sz w:val="24"/>
          <w:szCs w:val="24"/>
          <w:lang w:val="es-VE"/>
        </w:rPr>
      </w:pPr>
      <w:r w:rsidRPr="006A1884">
        <w:rPr>
          <w:rFonts w:ascii="Arial" w:hAnsi="Arial" w:cs="Arial"/>
          <w:b/>
          <w:bCs/>
          <w:sz w:val="24"/>
          <w:szCs w:val="24"/>
          <w:lang w:val="es-VE"/>
        </w:rPr>
        <w:t xml:space="preserve">País de origen: </w:t>
      </w:r>
      <w:r w:rsidRPr="006A1884">
        <w:rPr>
          <w:rFonts w:ascii="Arial" w:hAnsi="Arial" w:cs="Arial"/>
          <w:sz w:val="24"/>
          <w:szCs w:val="24"/>
          <w:lang w:val="es-VE"/>
        </w:rPr>
        <w:t>Cuba</w:t>
      </w:r>
      <w:bookmarkStart w:id="0" w:name="_GoBack"/>
      <w:bookmarkEnd w:id="0"/>
    </w:p>
    <w:p w:rsidR="00AA6577" w:rsidRPr="006A1884" w:rsidRDefault="00F43E06" w:rsidP="00683A6B">
      <w:pPr>
        <w:jc w:val="both"/>
        <w:rPr>
          <w:rFonts w:ascii="Arial" w:hAnsi="Arial" w:cs="Arial"/>
          <w:sz w:val="24"/>
          <w:szCs w:val="24"/>
          <w:lang w:val="es-VE"/>
        </w:rPr>
      </w:pPr>
      <w:r w:rsidRPr="006A1884">
        <w:rPr>
          <w:rFonts w:ascii="Arial" w:hAnsi="Arial" w:cs="Arial"/>
          <w:b/>
          <w:bCs/>
          <w:sz w:val="24"/>
          <w:szCs w:val="24"/>
          <w:lang w:val="es-VE"/>
        </w:rPr>
        <w:t>Correo</w:t>
      </w:r>
      <w:r w:rsidRPr="006A1884">
        <w:rPr>
          <w:rFonts w:ascii="Arial" w:hAnsi="Arial" w:cs="Arial"/>
          <w:sz w:val="24"/>
          <w:szCs w:val="24"/>
          <w:lang w:val="es-VE"/>
        </w:rPr>
        <w:t xml:space="preserve">: mawelalex0@gmail.com </w:t>
      </w:r>
    </w:p>
    <w:p w:rsidR="00AA6577" w:rsidRPr="006A1884" w:rsidRDefault="00F43E06" w:rsidP="00683A6B">
      <w:pPr>
        <w:jc w:val="both"/>
        <w:rPr>
          <w:rFonts w:ascii="Arial" w:hAnsi="Arial" w:cs="Arial"/>
          <w:sz w:val="24"/>
          <w:szCs w:val="24"/>
          <w:lang w:val="es-VE"/>
        </w:rPr>
      </w:pPr>
      <w:r w:rsidRPr="006A1884">
        <w:rPr>
          <w:rFonts w:ascii="Arial" w:hAnsi="Arial" w:cs="Arial"/>
          <w:b/>
          <w:bCs/>
          <w:sz w:val="24"/>
          <w:szCs w:val="24"/>
          <w:lang w:val="es-VE"/>
        </w:rPr>
        <w:t>Teléfono</w:t>
      </w:r>
      <w:r w:rsidRPr="006A1884">
        <w:rPr>
          <w:rFonts w:ascii="Arial" w:hAnsi="Arial" w:cs="Arial"/>
          <w:sz w:val="24"/>
          <w:szCs w:val="24"/>
          <w:lang w:val="es-VE"/>
        </w:rPr>
        <w:t>: 53987383</w:t>
      </w:r>
    </w:p>
    <w:p w:rsidR="00AA6577" w:rsidRPr="006A1884" w:rsidRDefault="006A1884" w:rsidP="00683A6B">
      <w:pPr>
        <w:jc w:val="both"/>
        <w:rPr>
          <w:rFonts w:ascii="Arial" w:hAnsi="Arial" w:cs="Arial"/>
          <w:sz w:val="24"/>
          <w:szCs w:val="24"/>
          <w:lang w:val="es-VE"/>
        </w:rPr>
      </w:pPr>
      <w:r w:rsidRPr="006A1884">
        <w:rPr>
          <w:rFonts w:ascii="Arial" w:hAnsi="Arial" w:cs="Arial"/>
          <w:b/>
          <w:bCs/>
          <w:sz w:val="24"/>
          <w:szCs w:val="24"/>
          <w:lang w:val="es-VE"/>
        </w:rPr>
        <w:t>Línea</w:t>
      </w:r>
      <w:r w:rsidR="00F43E06" w:rsidRPr="006A1884">
        <w:rPr>
          <w:rFonts w:ascii="Arial" w:hAnsi="Arial" w:cs="Arial"/>
          <w:b/>
          <w:bCs/>
          <w:sz w:val="24"/>
          <w:szCs w:val="24"/>
          <w:lang w:val="es-VE"/>
        </w:rPr>
        <w:t xml:space="preserve"> temática: </w:t>
      </w:r>
      <w:r w:rsidR="00F43E06" w:rsidRPr="006A1884">
        <w:rPr>
          <w:rFonts w:ascii="Arial" w:hAnsi="Arial" w:cs="Arial"/>
          <w:sz w:val="24"/>
          <w:szCs w:val="24"/>
          <w:lang w:val="es-VE"/>
        </w:rPr>
        <w:t>Transición energética, recursos estratégicos y desarrollo sostenible.</w:t>
      </w:r>
    </w:p>
    <w:p w:rsidR="00AA6577" w:rsidRPr="006A1884" w:rsidRDefault="00F43E06" w:rsidP="00683A6B">
      <w:pPr>
        <w:jc w:val="both"/>
        <w:rPr>
          <w:rFonts w:ascii="Arial" w:hAnsi="Arial" w:cs="Arial"/>
          <w:b/>
          <w:bCs/>
          <w:sz w:val="24"/>
          <w:szCs w:val="24"/>
          <w:lang w:val="es-VE"/>
        </w:rPr>
      </w:pPr>
      <w:r w:rsidRPr="006A1884">
        <w:rPr>
          <w:rFonts w:ascii="Arial" w:hAnsi="Arial" w:cs="Arial"/>
          <w:b/>
          <w:bCs/>
          <w:sz w:val="24"/>
          <w:szCs w:val="24"/>
          <w:lang w:val="es-VE"/>
        </w:rPr>
        <w:t>Introducción</w:t>
      </w:r>
    </w:p>
    <w:p w:rsidR="00AA6577" w:rsidRPr="006A1884" w:rsidRDefault="00F43E06" w:rsidP="00683A6B">
      <w:pPr>
        <w:jc w:val="both"/>
        <w:rPr>
          <w:rFonts w:ascii="Arial" w:hAnsi="Arial" w:cs="Arial"/>
          <w:sz w:val="24"/>
          <w:szCs w:val="24"/>
          <w:lang w:val="es-VE"/>
        </w:rPr>
      </w:pPr>
      <w:r w:rsidRPr="006A1884">
        <w:rPr>
          <w:rFonts w:ascii="Arial" w:hAnsi="Arial" w:cs="Arial"/>
          <w:sz w:val="24"/>
          <w:szCs w:val="24"/>
          <w:lang w:val="es-VE"/>
        </w:rPr>
        <w:t>La transición energética se ha convertido en uno de los desafíos más urgentes del siglo XXI, marcado por la necesidad de abandonar los combustibles fósiles y adoptar fuentes</w:t>
      </w:r>
      <w:r w:rsidRPr="006A1884">
        <w:rPr>
          <w:rFonts w:ascii="Arial" w:hAnsi="Arial" w:cs="Arial"/>
          <w:sz w:val="24"/>
          <w:szCs w:val="24"/>
          <w:lang w:val="es-VE"/>
        </w:rPr>
        <w:t xml:space="preserve"> de energía limpias para frenar el cambio climático. Este proceso no solo implica transformaciones tecnológicas y económicas, sino también profundos cambios geopolíticos, sociales y ambientales. En un contexto donde la crisis climática se intensifica y las</w:t>
      </w:r>
      <w:r w:rsidRPr="006A1884">
        <w:rPr>
          <w:rFonts w:ascii="Arial" w:hAnsi="Arial" w:cs="Arial"/>
          <w:sz w:val="24"/>
          <w:szCs w:val="24"/>
          <w:lang w:val="es-VE"/>
        </w:rPr>
        <w:t xml:space="preserve"> desigualdades globales persisten, la transición hacia un modelo energético sostenible debe garantizar no solo la reducción de emisiones, sino también el acceso equitativo a la energía y el manejo responsable de los recursos estratégicos.  </w:t>
      </w:r>
    </w:p>
    <w:p w:rsidR="00AA6577" w:rsidRPr="006A1884" w:rsidRDefault="00F43E06" w:rsidP="00683A6B">
      <w:pPr>
        <w:jc w:val="both"/>
        <w:rPr>
          <w:rFonts w:ascii="Arial" w:hAnsi="Arial" w:cs="Arial"/>
          <w:sz w:val="24"/>
          <w:szCs w:val="24"/>
          <w:lang w:val="es-VE"/>
        </w:rPr>
      </w:pPr>
      <w:r w:rsidRPr="006A1884">
        <w:rPr>
          <w:rFonts w:ascii="Arial" w:hAnsi="Arial" w:cs="Arial"/>
          <w:sz w:val="24"/>
          <w:szCs w:val="24"/>
          <w:lang w:val="es-VE"/>
        </w:rPr>
        <w:t>El desarrollo s</w:t>
      </w:r>
      <w:r w:rsidRPr="006A1884">
        <w:rPr>
          <w:rFonts w:ascii="Arial" w:hAnsi="Arial" w:cs="Arial"/>
          <w:sz w:val="24"/>
          <w:szCs w:val="24"/>
          <w:lang w:val="es-VE"/>
        </w:rPr>
        <w:t>ostenible, como concepto integral, exige que la transición energética no repita los errores del pasado, donde la explotación de recursos naturales generó degradación ambiental y desigualdad social. Minerales críticos como el litio, el cobalto y las tierras</w:t>
      </w:r>
      <w:r w:rsidRPr="006A1884">
        <w:rPr>
          <w:rFonts w:ascii="Arial" w:hAnsi="Arial" w:cs="Arial"/>
          <w:sz w:val="24"/>
          <w:szCs w:val="24"/>
          <w:lang w:val="es-VE"/>
        </w:rPr>
        <w:t xml:space="preserve"> raras son ahora esenciales para las tecnologías verdes, pero su extracción plantea nuevos dilemas éticos y geopolíticos. Mientras países ricos avanzan en energías renovables, muchas naciones en desarrollo —que albergan estos recursos— enfrentan el riesgo </w:t>
      </w:r>
      <w:r w:rsidRPr="006A1884">
        <w:rPr>
          <w:rFonts w:ascii="Arial" w:hAnsi="Arial" w:cs="Arial"/>
          <w:sz w:val="24"/>
          <w:szCs w:val="24"/>
          <w:lang w:val="es-VE"/>
        </w:rPr>
        <w:t xml:space="preserve">de caer en nuevas formas de dependencia económica.  </w:t>
      </w:r>
    </w:p>
    <w:p w:rsidR="00AA6577" w:rsidRPr="006A1884" w:rsidRDefault="00F43E06" w:rsidP="00683A6B">
      <w:pPr>
        <w:jc w:val="both"/>
        <w:rPr>
          <w:rFonts w:ascii="Arial" w:hAnsi="Arial" w:cs="Arial"/>
          <w:sz w:val="24"/>
          <w:szCs w:val="24"/>
          <w:lang w:val="es-VE"/>
        </w:rPr>
      </w:pPr>
      <w:r w:rsidRPr="006A1884">
        <w:rPr>
          <w:rFonts w:ascii="Arial" w:hAnsi="Arial" w:cs="Arial"/>
          <w:sz w:val="24"/>
          <w:szCs w:val="24"/>
          <w:lang w:val="es-VE"/>
        </w:rPr>
        <w:t>Este trabajo analiza los avances y obstáculos de la transición energética en 2025, examinando el papel de los recursos estratégicos y su impacto en el desarrollo sostenible. Se exploran tanto las oportun</w:t>
      </w:r>
      <w:r w:rsidRPr="006A1884">
        <w:rPr>
          <w:rFonts w:ascii="Arial" w:hAnsi="Arial" w:cs="Arial"/>
          <w:sz w:val="24"/>
          <w:szCs w:val="24"/>
          <w:lang w:val="es-VE"/>
        </w:rPr>
        <w:t xml:space="preserve">idades que ofrece esta transformación —como la creación de empleos verdes y la modernización de infraestructuras— como los desafíos pendientes, desde la financiación climática hasta la justicia energética. A través de un enfoque multidimensional, se busca </w:t>
      </w:r>
      <w:r w:rsidRPr="006A1884">
        <w:rPr>
          <w:rFonts w:ascii="Arial" w:hAnsi="Arial" w:cs="Arial"/>
          <w:sz w:val="24"/>
          <w:szCs w:val="24"/>
          <w:lang w:val="es-VE"/>
        </w:rPr>
        <w:t xml:space="preserve">responder a una pregunta clave: ¿Cómo puede la transición energética ser verdaderamente sostenible, justa e inclusiva?  </w:t>
      </w:r>
    </w:p>
    <w:p w:rsidR="00AA6577" w:rsidRPr="006A1884" w:rsidRDefault="00F43E06" w:rsidP="00683A6B">
      <w:pPr>
        <w:jc w:val="both"/>
        <w:rPr>
          <w:rFonts w:ascii="Arial" w:hAnsi="Arial" w:cs="Arial"/>
          <w:sz w:val="24"/>
          <w:szCs w:val="24"/>
          <w:lang w:val="es-VE"/>
        </w:rPr>
      </w:pPr>
      <w:r w:rsidRPr="006A1884">
        <w:rPr>
          <w:rFonts w:ascii="Arial" w:hAnsi="Arial" w:cs="Arial"/>
          <w:sz w:val="24"/>
          <w:szCs w:val="24"/>
          <w:lang w:val="es-VE"/>
        </w:rPr>
        <w:t xml:space="preserve">Al integrar perspectivas económicas, ambientales y sociales, este trabajo aporta una visión crítica sobre cómo avanzar hacia un futuro </w:t>
      </w:r>
      <w:r w:rsidRPr="006A1884">
        <w:rPr>
          <w:rFonts w:ascii="Arial" w:hAnsi="Arial" w:cs="Arial"/>
          <w:sz w:val="24"/>
          <w:szCs w:val="24"/>
          <w:lang w:val="es-VE"/>
        </w:rPr>
        <w:t xml:space="preserve">energético que no solo sea limpio, sino también justo y </w:t>
      </w:r>
      <w:proofErr w:type="spellStart"/>
      <w:r w:rsidRPr="006A1884">
        <w:rPr>
          <w:rFonts w:ascii="Arial" w:hAnsi="Arial" w:cs="Arial"/>
          <w:sz w:val="24"/>
          <w:szCs w:val="24"/>
          <w:lang w:val="es-VE"/>
        </w:rPr>
        <w:t>resiliente</w:t>
      </w:r>
      <w:proofErr w:type="spellEnd"/>
      <w:r w:rsidRPr="006A1884">
        <w:rPr>
          <w:rFonts w:ascii="Arial" w:hAnsi="Arial" w:cs="Arial"/>
          <w:sz w:val="24"/>
          <w:szCs w:val="24"/>
          <w:lang w:val="es-VE"/>
        </w:rPr>
        <w:t>.</w:t>
      </w:r>
    </w:p>
    <w:p w:rsidR="00AA6577" w:rsidRPr="006A1884" w:rsidRDefault="00F43E06" w:rsidP="00683A6B">
      <w:pPr>
        <w:jc w:val="both"/>
        <w:rPr>
          <w:rFonts w:ascii="Arial" w:hAnsi="Arial" w:cs="Arial"/>
          <w:b/>
          <w:bCs/>
          <w:sz w:val="24"/>
          <w:szCs w:val="24"/>
          <w:lang w:val="es-VE"/>
        </w:rPr>
      </w:pPr>
      <w:r w:rsidRPr="006A1884">
        <w:rPr>
          <w:rFonts w:ascii="Arial" w:hAnsi="Arial" w:cs="Arial"/>
          <w:b/>
          <w:bCs/>
          <w:sz w:val="24"/>
          <w:szCs w:val="24"/>
          <w:lang w:val="es-VE"/>
        </w:rPr>
        <w:lastRenderedPageBreak/>
        <w:t xml:space="preserve">Desarrollo </w:t>
      </w:r>
    </w:p>
    <w:p w:rsidR="00AA6577" w:rsidRPr="006A1884" w:rsidRDefault="00F43E06" w:rsidP="00683A6B">
      <w:pPr>
        <w:jc w:val="both"/>
        <w:rPr>
          <w:rFonts w:ascii="Arial" w:hAnsi="Arial" w:cs="Arial"/>
          <w:b/>
          <w:bCs/>
          <w:sz w:val="24"/>
          <w:szCs w:val="24"/>
          <w:lang w:val="es-VE"/>
        </w:rPr>
      </w:pPr>
      <w:r w:rsidRPr="006A1884">
        <w:rPr>
          <w:rFonts w:ascii="Arial" w:hAnsi="Arial" w:cs="Arial"/>
          <w:b/>
          <w:bCs/>
          <w:sz w:val="24"/>
          <w:szCs w:val="24"/>
          <w:lang w:val="es-VE"/>
        </w:rPr>
        <w:t xml:space="preserve">1. La transición energética en 2025: avances y contradicciones de un proceso en marcha  </w:t>
      </w:r>
    </w:p>
    <w:p w:rsidR="00AA6577" w:rsidRPr="006A1884" w:rsidRDefault="00F43E06" w:rsidP="00683A6B">
      <w:pPr>
        <w:jc w:val="both"/>
        <w:rPr>
          <w:rFonts w:ascii="Arial" w:hAnsi="Arial" w:cs="Arial"/>
          <w:sz w:val="24"/>
          <w:szCs w:val="24"/>
          <w:lang w:val="es-VE"/>
        </w:rPr>
      </w:pPr>
      <w:r w:rsidRPr="006A1884">
        <w:rPr>
          <w:rFonts w:ascii="Arial" w:hAnsi="Arial" w:cs="Arial"/>
          <w:sz w:val="24"/>
          <w:szCs w:val="24"/>
          <w:lang w:val="es-VE"/>
        </w:rPr>
        <w:t>El año 2025 representa un momento clave en la transición energética global, caracteriza</w:t>
      </w:r>
      <w:r w:rsidRPr="006A1884">
        <w:rPr>
          <w:rFonts w:ascii="Arial" w:hAnsi="Arial" w:cs="Arial"/>
          <w:sz w:val="24"/>
          <w:szCs w:val="24"/>
          <w:lang w:val="es-VE"/>
        </w:rPr>
        <w:t xml:space="preserve">do por avances tecnológicos significativos pero también por profundas contradicciones políticas y económicas. Mientras algunos países aceleran su </w:t>
      </w:r>
      <w:proofErr w:type="spellStart"/>
      <w:r w:rsidRPr="006A1884">
        <w:rPr>
          <w:rFonts w:ascii="Arial" w:hAnsi="Arial" w:cs="Arial"/>
          <w:sz w:val="24"/>
          <w:szCs w:val="24"/>
          <w:lang w:val="es-VE"/>
        </w:rPr>
        <w:t>descarbonización</w:t>
      </w:r>
      <w:proofErr w:type="spellEnd"/>
      <w:r w:rsidRPr="006A1884">
        <w:rPr>
          <w:rFonts w:ascii="Arial" w:hAnsi="Arial" w:cs="Arial"/>
          <w:sz w:val="24"/>
          <w:szCs w:val="24"/>
          <w:lang w:val="es-VE"/>
        </w:rPr>
        <w:t>, otros retroceden en sus compromisos climáticos, revelando las tensiones entre desarrollo eco</w:t>
      </w:r>
      <w:r w:rsidRPr="006A1884">
        <w:rPr>
          <w:rFonts w:ascii="Arial" w:hAnsi="Arial" w:cs="Arial"/>
          <w:sz w:val="24"/>
          <w:szCs w:val="24"/>
          <w:lang w:val="es-VE"/>
        </w:rPr>
        <w:t xml:space="preserve">nómico y sostenibilidad ambiental.  </w:t>
      </w:r>
    </w:p>
    <w:p w:rsidR="00AA6577" w:rsidRPr="006A1884" w:rsidRDefault="00F43E06" w:rsidP="00683A6B">
      <w:pPr>
        <w:jc w:val="both"/>
        <w:rPr>
          <w:rFonts w:ascii="Arial" w:hAnsi="Arial" w:cs="Arial"/>
          <w:b/>
          <w:bCs/>
          <w:sz w:val="24"/>
          <w:szCs w:val="24"/>
          <w:lang w:val="es-VE"/>
        </w:rPr>
      </w:pPr>
      <w:r w:rsidRPr="006A1884">
        <w:rPr>
          <w:rFonts w:ascii="Arial" w:hAnsi="Arial" w:cs="Arial"/>
          <w:b/>
          <w:bCs/>
          <w:sz w:val="24"/>
          <w:szCs w:val="24"/>
          <w:lang w:val="es-VE"/>
        </w:rPr>
        <w:t>Progresos en la adopción de energías renovables</w:t>
      </w:r>
    </w:p>
    <w:p w:rsidR="00AA6577" w:rsidRPr="006A1884" w:rsidRDefault="00F43E06" w:rsidP="00683A6B">
      <w:pPr>
        <w:jc w:val="both"/>
        <w:rPr>
          <w:rFonts w:ascii="Arial" w:hAnsi="Arial" w:cs="Arial"/>
          <w:sz w:val="24"/>
          <w:szCs w:val="24"/>
          <w:lang w:val="es-VE"/>
        </w:rPr>
      </w:pPr>
      <w:r w:rsidRPr="006A1884">
        <w:rPr>
          <w:rFonts w:ascii="Arial" w:hAnsi="Arial" w:cs="Arial"/>
          <w:sz w:val="24"/>
          <w:szCs w:val="24"/>
          <w:lang w:val="es-VE"/>
        </w:rPr>
        <w:t>El sector de las energías limpias ha experimentado un crecimiento sin precedentes donde se aprecia la expansión de fuentes renovables. Según la Agencia Internacional de En</w:t>
      </w:r>
      <w:r w:rsidRPr="006A1884">
        <w:rPr>
          <w:rFonts w:ascii="Arial" w:hAnsi="Arial" w:cs="Arial"/>
          <w:sz w:val="24"/>
          <w:szCs w:val="24"/>
          <w:lang w:val="es-VE"/>
        </w:rPr>
        <w:t xml:space="preserve">ergía Renovable (IRENA), las energías </w:t>
      </w:r>
      <w:proofErr w:type="gramStart"/>
      <w:r w:rsidRPr="006A1884">
        <w:rPr>
          <w:rFonts w:ascii="Arial" w:hAnsi="Arial" w:cs="Arial"/>
          <w:sz w:val="24"/>
          <w:szCs w:val="24"/>
          <w:lang w:val="es-VE"/>
        </w:rPr>
        <w:t>solar</w:t>
      </w:r>
      <w:proofErr w:type="gramEnd"/>
      <w:r w:rsidRPr="006A1884">
        <w:rPr>
          <w:rFonts w:ascii="Arial" w:hAnsi="Arial" w:cs="Arial"/>
          <w:sz w:val="24"/>
          <w:szCs w:val="24"/>
          <w:lang w:val="es-VE"/>
        </w:rPr>
        <w:t xml:space="preserve"> y eólica ya cubren cerca del 30% de la generación eléctrica mundial, con China, la Unión Europea y Estados Unidos liderando esta transformación. La adopción de energías renovables trae la reducción de costos; la </w:t>
      </w:r>
      <w:r w:rsidRPr="006A1884">
        <w:rPr>
          <w:rFonts w:ascii="Arial" w:hAnsi="Arial" w:cs="Arial"/>
          <w:sz w:val="24"/>
          <w:szCs w:val="24"/>
          <w:lang w:val="es-VE"/>
        </w:rPr>
        <w:t>energía solar fotovoltaica ha alcanzado precios históricamente bajos (menos de 0,03 USD/</w:t>
      </w:r>
      <w:proofErr w:type="spellStart"/>
      <w:r w:rsidRPr="006A1884">
        <w:rPr>
          <w:rFonts w:ascii="Arial" w:hAnsi="Arial" w:cs="Arial"/>
          <w:sz w:val="24"/>
          <w:szCs w:val="24"/>
          <w:lang w:val="es-VE"/>
        </w:rPr>
        <w:t>kWh</w:t>
      </w:r>
      <w:proofErr w:type="spellEnd"/>
      <w:r w:rsidRPr="006A1884">
        <w:rPr>
          <w:rFonts w:ascii="Arial" w:hAnsi="Arial" w:cs="Arial"/>
          <w:sz w:val="24"/>
          <w:szCs w:val="24"/>
          <w:lang w:val="es-VE"/>
        </w:rPr>
        <w:t xml:space="preserve"> en regiones con alta radiación), haciéndola más competitiva que los combustibles fósiles en numerosos mercados. Por su parte, la innovación tecnológica trae avances</w:t>
      </w:r>
      <w:r w:rsidRPr="006A1884">
        <w:rPr>
          <w:rFonts w:ascii="Arial" w:hAnsi="Arial" w:cs="Arial"/>
          <w:sz w:val="24"/>
          <w:szCs w:val="24"/>
          <w:lang w:val="es-VE"/>
        </w:rPr>
        <w:t xml:space="preserve"> en almacenamiento (baterías de estado sólido), hidrógeno verde y redes inteligentes están permitiendo una integración más eficiente de las energías intermitentes.  </w:t>
      </w:r>
    </w:p>
    <w:p w:rsidR="00AA6577" w:rsidRPr="006A1884" w:rsidRDefault="00F43E06" w:rsidP="00683A6B">
      <w:pPr>
        <w:jc w:val="both"/>
        <w:rPr>
          <w:rFonts w:ascii="Arial" w:hAnsi="Arial" w:cs="Arial"/>
          <w:sz w:val="24"/>
          <w:szCs w:val="24"/>
          <w:lang w:val="es-VE"/>
        </w:rPr>
      </w:pPr>
      <w:r w:rsidRPr="006A1884">
        <w:rPr>
          <w:rFonts w:ascii="Arial" w:hAnsi="Arial" w:cs="Arial"/>
          <w:sz w:val="24"/>
          <w:szCs w:val="24"/>
          <w:lang w:val="es-VE"/>
        </w:rPr>
        <w:t>Pese a estos avances, persisten barreras estructurales que frenan una transición más rápid</w:t>
      </w:r>
      <w:r w:rsidRPr="006A1884">
        <w:rPr>
          <w:rFonts w:ascii="Arial" w:hAnsi="Arial" w:cs="Arial"/>
          <w:sz w:val="24"/>
          <w:szCs w:val="24"/>
          <w:lang w:val="es-VE"/>
        </w:rPr>
        <w:t xml:space="preserve">a. </w:t>
      </w:r>
      <w:r w:rsidR="006A1884" w:rsidRPr="006A1884">
        <w:rPr>
          <w:rFonts w:ascii="Arial" w:hAnsi="Arial" w:cs="Arial"/>
          <w:sz w:val="24"/>
          <w:szCs w:val="24"/>
          <w:lang w:val="es-VE"/>
        </w:rPr>
        <w:t>Los retrocesos</w:t>
      </w:r>
      <w:r w:rsidRPr="006A1884">
        <w:rPr>
          <w:rFonts w:ascii="Arial" w:hAnsi="Arial" w:cs="Arial"/>
          <w:sz w:val="24"/>
          <w:szCs w:val="24"/>
          <w:lang w:val="es-VE"/>
        </w:rPr>
        <w:t xml:space="preserve"> en políticas climáticas como la victoria de Donald </w:t>
      </w:r>
      <w:proofErr w:type="spellStart"/>
      <w:r w:rsidRPr="006A1884">
        <w:rPr>
          <w:rFonts w:ascii="Arial" w:hAnsi="Arial" w:cs="Arial"/>
          <w:sz w:val="24"/>
          <w:szCs w:val="24"/>
          <w:lang w:val="es-VE"/>
        </w:rPr>
        <w:t>Trump</w:t>
      </w:r>
      <w:proofErr w:type="spellEnd"/>
      <w:r w:rsidRPr="006A1884">
        <w:rPr>
          <w:rFonts w:ascii="Arial" w:hAnsi="Arial" w:cs="Arial"/>
          <w:sz w:val="24"/>
          <w:szCs w:val="24"/>
          <w:lang w:val="es-VE"/>
        </w:rPr>
        <w:t xml:space="preserve"> en las elecciones estadounidenses de 2024 llevó a la retirada de EE.UU. del Acuerdo de París por segunda vez, paralizando importantes iniciativas de financiamiento climático global. </w:t>
      </w:r>
      <w:r w:rsidRPr="006A1884">
        <w:rPr>
          <w:rFonts w:ascii="Arial" w:hAnsi="Arial" w:cs="Arial"/>
          <w:sz w:val="24"/>
          <w:szCs w:val="24"/>
          <w:lang w:val="es-VE"/>
        </w:rPr>
        <w:t>El subsidios a los combustibles fósiles frena de igual manera la transición, según el FMI, los subsidios globales al carbón, petróleo y gas superaron los 7 billones de dólares en 2024, distorsionando los mercados energéticos. En esta lista entra la desigua</w:t>
      </w:r>
      <w:r w:rsidRPr="006A1884">
        <w:rPr>
          <w:rFonts w:ascii="Arial" w:hAnsi="Arial" w:cs="Arial"/>
          <w:sz w:val="24"/>
          <w:szCs w:val="24"/>
          <w:lang w:val="es-VE"/>
        </w:rPr>
        <w:t xml:space="preserve">ldad en el acceso a tecnologías limpias, mientras Europa y Asia avanzan en electrificación del transporte, África subsahariana y partes de América Latina siguen dependiendo en más del 60% de combustibles tradicionales para cocinar y </w:t>
      </w:r>
      <w:r w:rsidR="006A1884" w:rsidRPr="006A1884">
        <w:rPr>
          <w:rFonts w:ascii="Arial" w:hAnsi="Arial" w:cs="Arial"/>
          <w:sz w:val="24"/>
          <w:szCs w:val="24"/>
          <w:lang w:val="es-VE"/>
        </w:rPr>
        <w:t>calefacción</w:t>
      </w:r>
      <w:r w:rsidRPr="006A1884">
        <w:rPr>
          <w:rFonts w:ascii="Arial" w:hAnsi="Arial" w:cs="Arial"/>
          <w:sz w:val="24"/>
          <w:szCs w:val="24"/>
          <w:lang w:val="es-VE"/>
        </w:rPr>
        <w:t xml:space="preserve">.  </w:t>
      </w:r>
    </w:p>
    <w:p w:rsidR="00AA6577" w:rsidRPr="006A1884" w:rsidRDefault="00F43E06" w:rsidP="00683A6B">
      <w:pPr>
        <w:jc w:val="both"/>
        <w:rPr>
          <w:rFonts w:ascii="Arial" w:hAnsi="Arial" w:cs="Arial"/>
          <w:sz w:val="24"/>
          <w:szCs w:val="24"/>
          <w:lang w:val="es-VE"/>
        </w:rPr>
      </w:pPr>
      <w:r w:rsidRPr="006A1884">
        <w:rPr>
          <w:rFonts w:ascii="Arial" w:hAnsi="Arial" w:cs="Arial"/>
          <w:sz w:val="24"/>
          <w:szCs w:val="24"/>
          <w:lang w:val="es-VE"/>
        </w:rPr>
        <w:t>Los in</w:t>
      </w:r>
      <w:r w:rsidRPr="006A1884">
        <w:rPr>
          <w:rFonts w:ascii="Arial" w:hAnsi="Arial" w:cs="Arial"/>
          <w:sz w:val="24"/>
          <w:szCs w:val="24"/>
          <w:lang w:val="es-VE"/>
        </w:rPr>
        <w:t xml:space="preserve">formes más recientes revelan una alarmante desconexión entre las metas climáticas y las acciones concretas. </w:t>
      </w:r>
      <w:r w:rsidRPr="006A1884">
        <w:rPr>
          <w:rFonts w:ascii="Arial" w:hAnsi="Arial" w:cs="Arial"/>
          <w:sz w:val="24"/>
          <w:szCs w:val="24"/>
          <w:lang w:val="es-VE"/>
        </w:rPr>
        <w:t>Las emisiones globales de CO</w:t>
      </w:r>
      <w:r w:rsidRPr="006A1884">
        <w:rPr>
          <w:rFonts w:ascii="Cambria Math" w:hAnsi="Cambria Math" w:cs="Cambria Math"/>
          <w:sz w:val="24"/>
          <w:szCs w:val="24"/>
          <w:lang w:val="es-VE"/>
        </w:rPr>
        <w:t>₂</w:t>
      </w:r>
      <w:r w:rsidRPr="006A1884">
        <w:rPr>
          <w:rFonts w:ascii="Arial" w:hAnsi="Arial" w:cs="Arial"/>
          <w:sz w:val="24"/>
          <w:szCs w:val="24"/>
          <w:lang w:val="es-VE"/>
        </w:rPr>
        <w:t xml:space="preserve"> alcanzaron emisiones récord de 37.000 millones de toneladas en 2024, un máximo histórico, debido al aumento del consum</w:t>
      </w:r>
      <w:r w:rsidRPr="006A1884">
        <w:rPr>
          <w:rFonts w:ascii="Arial" w:hAnsi="Arial" w:cs="Arial"/>
          <w:sz w:val="24"/>
          <w:szCs w:val="24"/>
          <w:lang w:val="es-VE"/>
        </w:rPr>
        <w:t xml:space="preserve">o de carbón en Asia. </w:t>
      </w:r>
      <w:r w:rsidRPr="006A1884">
        <w:rPr>
          <w:rFonts w:ascii="Arial" w:hAnsi="Arial" w:cs="Arial"/>
          <w:sz w:val="24"/>
          <w:szCs w:val="24"/>
          <w:lang w:val="es-VE"/>
        </w:rPr>
        <w:t xml:space="preserve">La falta de financiamiento también afecta, el fondo climático de 300.000 millones anuales acordado en la COP29 (Bakú, 2024) cubre menos del 20% de las necesidades estimadas por los países en desarrollo para su adaptación. A todo eso </w:t>
      </w:r>
      <w:r w:rsidR="006A1884" w:rsidRPr="006A1884">
        <w:rPr>
          <w:rFonts w:ascii="Arial" w:hAnsi="Arial" w:cs="Arial"/>
          <w:sz w:val="24"/>
          <w:szCs w:val="24"/>
          <w:lang w:val="es-VE"/>
        </w:rPr>
        <w:t>sumémosle</w:t>
      </w:r>
      <w:r w:rsidRPr="006A1884">
        <w:rPr>
          <w:rFonts w:ascii="Arial" w:hAnsi="Arial" w:cs="Arial"/>
          <w:sz w:val="24"/>
          <w:szCs w:val="24"/>
          <w:lang w:val="es-VE"/>
        </w:rPr>
        <w:t xml:space="preserve"> la no escucha de las advertencias </w:t>
      </w:r>
      <w:r w:rsidRPr="006A1884">
        <w:rPr>
          <w:rFonts w:ascii="Arial" w:hAnsi="Arial" w:cs="Arial"/>
          <w:sz w:val="24"/>
          <w:szCs w:val="24"/>
          <w:lang w:val="es-VE"/>
        </w:rPr>
        <w:lastRenderedPageBreak/>
        <w:t xml:space="preserve">científicas donde el último reporte del IPCC señala que, al ritmo actual, el planeta se encamina hacia un calentamiento de 2,4°C para 2050, muy por encima del objetivo de 1,5°C.  </w:t>
      </w:r>
    </w:p>
    <w:p w:rsidR="00AA6577" w:rsidRPr="006A1884" w:rsidRDefault="00F43E06" w:rsidP="00683A6B">
      <w:pPr>
        <w:jc w:val="both"/>
        <w:rPr>
          <w:rFonts w:ascii="Arial" w:hAnsi="Arial" w:cs="Arial"/>
          <w:sz w:val="24"/>
          <w:szCs w:val="24"/>
          <w:lang w:val="es-VE"/>
        </w:rPr>
      </w:pPr>
      <w:r w:rsidRPr="006A1884">
        <w:rPr>
          <w:rFonts w:ascii="Arial" w:hAnsi="Arial" w:cs="Arial"/>
          <w:sz w:val="24"/>
          <w:szCs w:val="24"/>
          <w:lang w:val="es-VE"/>
        </w:rPr>
        <w:t>Algunos ejemplos ilustran esta dua</w:t>
      </w:r>
      <w:r w:rsidRPr="006A1884">
        <w:rPr>
          <w:rFonts w:ascii="Arial" w:hAnsi="Arial" w:cs="Arial"/>
          <w:sz w:val="24"/>
          <w:szCs w:val="24"/>
          <w:lang w:val="es-VE"/>
        </w:rPr>
        <w:t xml:space="preserve">lidad entre progreso y estancamiento: Alemania logró generar 65% de su electricidad con renovables en 2024, pero enfrenta críticas por mantener plantas de carbón como respaldo. Por su parte la India se ha convertido en el tercer mayor productor de energía </w:t>
      </w:r>
      <w:r w:rsidRPr="006A1884">
        <w:rPr>
          <w:rFonts w:ascii="Arial" w:hAnsi="Arial" w:cs="Arial"/>
          <w:sz w:val="24"/>
          <w:szCs w:val="24"/>
          <w:lang w:val="es-VE"/>
        </w:rPr>
        <w:t>solar, aunque simultáneamente construye nuevas centrales de carbón para satisfacer su creciente demanda. También Brasil avanza en hidrógeno verde y biocombustibles, pero la deforestación amazónica amenaza sus compromisos de neutralidad climática.</w:t>
      </w:r>
    </w:p>
    <w:p w:rsidR="00AA6577" w:rsidRPr="006A1884" w:rsidRDefault="00F43E06" w:rsidP="00683A6B">
      <w:pPr>
        <w:jc w:val="both"/>
        <w:rPr>
          <w:rFonts w:ascii="Arial" w:hAnsi="Arial" w:cs="Arial"/>
          <w:sz w:val="24"/>
          <w:szCs w:val="24"/>
          <w:lang w:val="es-VE"/>
        </w:rPr>
      </w:pPr>
      <w:r w:rsidRPr="006A1884">
        <w:rPr>
          <w:rFonts w:ascii="Arial" w:hAnsi="Arial" w:cs="Arial"/>
          <w:sz w:val="24"/>
          <w:szCs w:val="24"/>
          <w:lang w:val="es-VE"/>
        </w:rPr>
        <w:t>La transi</w:t>
      </w:r>
      <w:r w:rsidRPr="006A1884">
        <w:rPr>
          <w:rFonts w:ascii="Arial" w:hAnsi="Arial" w:cs="Arial"/>
          <w:sz w:val="24"/>
          <w:szCs w:val="24"/>
          <w:lang w:val="es-VE"/>
        </w:rPr>
        <w:t>ción energética en 2025 avanza de manera desigual, con notables logros técnicos pero graves deficiencias en su implementación equitativa. Mientras las tecnologías limpias demuestran su viabilidad económica, la falta de voluntad política y los intereses cre</w:t>
      </w:r>
      <w:r w:rsidRPr="006A1884">
        <w:rPr>
          <w:rFonts w:ascii="Arial" w:hAnsi="Arial" w:cs="Arial"/>
          <w:sz w:val="24"/>
          <w:szCs w:val="24"/>
          <w:lang w:val="es-VE"/>
        </w:rPr>
        <w:t>ados en los sectores fósiles siguen siendo los principales frenos. Urge una mayor coordinación internacional y mecanismos financieros innovadores para evitar que el mundo incumpla sus metas climáticas críticas.</w:t>
      </w:r>
    </w:p>
    <w:p w:rsidR="00AA6577" w:rsidRPr="006A1884" w:rsidRDefault="00F43E06" w:rsidP="00683A6B">
      <w:pPr>
        <w:jc w:val="both"/>
        <w:rPr>
          <w:rFonts w:ascii="Arial" w:hAnsi="Arial" w:cs="Arial"/>
          <w:b/>
          <w:bCs/>
          <w:sz w:val="24"/>
          <w:szCs w:val="24"/>
          <w:lang w:val="es-VE"/>
        </w:rPr>
      </w:pPr>
      <w:r w:rsidRPr="006A1884">
        <w:rPr>
          <w:rFonts w:ascii="Arial" w:hAnsi="Arial" w:cs="Arial"/>
          <w:b/>
          <w:bCs/>
          <w:sz w:val="24"/>
          <w:szCs w:val="24"/>
          <w:lang w:val="es-VE"/>
        </w:rPr>
        <w:t>2. Recursos estratégicos: La nueva geopolític</w:t>
      </w:r>
      <w:r w:rsidRPr="006A1884">
        <w:rPr>
          <w:rFonts w:ascii="Arial" w:hAnsi="Arial" w:cs="Arial"/>
          <w:b/>
          <w:bCs/>
          <w:sz w:val="24"/>
          <w:szCs w:val="24"/>
          <w:lang w:val="es-VE"/>
        </w:rPr>
        <w:t>a de los minerales críticos</w:t>
      </w:r>
    </w:p>
    <w:p w:rsidR="00AA6577" w:rsidRPr="006A1884" w:rsidRDefault="00F43E06" w:rsidP="00683A6B">
      <w:pPr>
        <w:jc w:val="both"/>
        <w:rPr>
          <w:rFonts w:ascii="Arial" w:hAnsi="Arial" w:cs="Arial"/>
          <w:sz w:val="24"/>
          <w:szCs w:val="24"/>
          <w:lang w:val="es-VE"/>
        </w:rPr>
      </w:pPr>
      <w:r w:rsidRPr="006A1884">
        <w:rPr>
          <w:rFonts w:ascii="Arial" w:hAnsi="Arial" w:cs="Arial"/>
          <w:sz w:val="24"/>
          <w:szCs w:val="24"/>
          <w:lang w:val="es-VE"/>
        </w:rPr>
        <w:t>La transición energética ha convertido a ciertos minerales en recursos estratégicos de importancia comparable al petróleo en el siglo XX. Litio, cobalto, tierras raras, níquel y grafito son ahora esenciales para fabricar batería</w:t>
      </w:r>
      <w:r w:rsidRPr="006A1884">
        <w:rPr>
          <w:rFonts w:ascii="Arial" w:hAnsi="Arial" w:cs="Arial"/>
          <w:sz w:val="24"/>
          <w:szCs w:val="24"/>
          <w:lang w:val="es-VE"/>
        </w:rPr>
        <w:t>s, turbinas eólicas, paneles solares y vehículos eléctricos, generando una reconfiguración del poder económico y geopolítico a nivel global.</w:t>
      </w:r>
    </w:p>
    <w:p w:rsidR="00AA6577" w:rsidRPr="006A1884" w:rsidRDefault="00F43E06" w:rsidP="00683A6B">
      <w:pPr>
        <w:jc w:val="both"/>
        <w:rPr>
          <w:rFonts w:ascii="Arial" w:hAnsi="Arial" w:cs="Arial"/>
          <w:sz w:val="24"/>
          <w:szCs w:val="24"/>
          <w:lang w:val="es-VE"/>
        </w:rPr>
      </w:pPr>
      <w:r w:rsidRPr="006A1884">
        <w:rPr>
          <w:rFonts w:ascii="Arial" w:hAnsi="Arial" w:cs="Arial"/>
          <w:sz w:val="24"/>
          <w:szCs w:val="24"/>
          <w:lang w:val="es-VE"/>
        </w:rPr>
        <w:t>La Agencia Internacional de Energía (AIE) proyecta que la demanda de litio se multiplicará por 40 para 2040, mientr</w:t>
      </w:r>
      <w:r w:rsidRPr="006A1884">
        <w:rPr>
          <w:rFonts w:ascii="Arial" w:hAnsi="Arial" w:cs="Arial"/>
          <w:sz w:val="24"/>
          <w:szCs w:val="24"/>
          <w:lang w:val="es-VE"/>
        </w:rPr>
        <w:t xml:space="preserve">as que la de cobalto y níquel crecerá entre 20 y 25 veces. China controla actualmente el 60% de la refinación de litio y el 80% del procesamiento de tierras raras, generando preocupaciones por su dominio en la cadena de suministro.  </w:t>
      </w:r>
    </w:p>
    <w:p w:rsidR="00AA6577" w:rsidRPr="006A1884" w:rsidRDefault="00F43E06" w:rsidP="00683A6B">
      <w:pPr>
        <w:jc w:val="both"/>
        <w:rPr>
          <w:rFonts w:ascii="Arial" w:hAnsi="Arial" w:cs="Arial"/>
          <w:sz w:val="24"/>
          <w:szCs w:val="24"/>
          <w:lang w:val="es-VE"/>
        </w:rPr>
      </w:pPr>
      <w:r w:rsidRPr="006A1884">
        <w:rPr>
          <w:rFonts w:ascii="Arial" w:hAnsi="Arial" w:cs="Arial"/>
          <w:sz w:val="24"/>
          <w:szCs w:val="24"/>
          <w:lang w:val="es-VE"/>
        </w:rPr>
        <w:t>Concentración geográfi</w:t>
      </w:r>
      <w:r w:rsidRPr="006A1884">
        <w:rPr>
          <w:rFonts w:ascii="Arial" w:hAnsi="Arial" w:cs="Arial"/>
          <w:sz w:val="24"/>
          <w:szCs w:val="24"/>
          <w:lang w:val="es-VE"/>
        </w:rPr>
        <w:t xml:space="preserve">ca de reservas  </w:t>
      </w:r>
    </w:p>
    <w:p w:rsidR="00AA6577" w:rsidRPr="006A1884" w:rsidRDefault="00F43E06" w:rsidP="00683A6B">
      <w:pPr>
        <w:pStyle w:val="Prrafodelista"/>
        <w:numPr>
          <w:ilvl w:val="0"/>
          <w:numId w:val="4"/>
        </w:numPr>
        <w:jc w:val="both"/>
        <w:rPr>
          <w:rFonts w:ascii="Arial" w:hAnsi="Arial" w:cs="Arial"/>
          <w:sz w:val="24"/>
          <w:szCs w:val="24"/>
          <w:lang w:val="es-VE"/>
        </w:rPr>
      </w:pPr>
      <w:r w:rsidRPr="006A1884">
        <w:rPr>
          <w:rFonts w:ascii="Arial" w:hAnsi="Arial" w:cs="Arial"/>
          <w:sz w:val="24"/>
          <w:szCs w:val="24"/>
          <w:lang w:val="es-VE"/>
        </w:rPr>
        <w:t xml:space="preserve">Litio: 58% en el "Triángulo del Litio" (Argentina, Bolivia, Chile)  </w:t>
      </w:r>
    </w:p>
    <w:p w:rsidR="00AA6577" w:rsidRPr="006A1884" w:rsidRDefault="00F43E06" w:rsidP="00683A6B">
      <w:pPr>
        <w:pStyle w:val="Prrafodelista"/>
        <w:numPr>
          <w:ilvl w:val="0"/>
          <w:numId w:val="4"/>
        </w:numPr>
        <w:jc w:val="both"/>
        <w:rPr>
          <w:rFonts w:ascii="Arial" w:hAnsi="Arial" w:cs="Arial"/>
          <w:sz w:val="24"/>
          <w:szCs w:val="24"/>
          <w:lang w:val="es-VE"/>
        </w:rPr>
      </w:pPr>
      <w:r w:rsidRPr="006A1884">
        <w:rPr>
          <w:rFonts w:ascii="Arial" w:hAnsi="Arial" w:cs="Arial"/>
          <w:sz w:val="24"/>
          <w:szCs w:val="24"/>
          <w:lang w:val="es-VE"/>
        </w:rPr>
        <w:t xml:space="preserve">Cobalto: 70% en República Democrática del Congo  </w:t>
      </w:r>
    </w:p>
    <w:p w:rsidR="00AA6577" w:rsidRPr="006A1884" w:rsidRDefault="00F43E06" w:rsidP="00683A6B">
      <w:pPr>
        <w:pStyle w:val="Prrafodelista"/>
        <w:numPr>
          <w:ilvl w:val="0"/>
          <w:numId w:val="4"/>
        </w:numPr>
        <w:jc w:val="both"/>
        <w:rPr>
          <w:rFonts w:ascii="Arial" w:hAnsi="Arial" w:cs="Arial"/>
          <w:sz w:val="24"/>
          <w:szCs w:val="24"/>
          <w:lang w:val="es-VE"/>
        </w:rPr>
      </w:pPr>
      <w:r w:rsidRPr="006A1884">
        <w:rPr>
          <w:rFonts w:ascii="Arial" w:hAnsi="Arial" w:cs="Arial"/>
          <w:sz w:val="24"/>
          <w:szCs w:val="24"/>
          <w:lang w:val="es-VE"/>
        </w:rPr>
        <w:t xml:space="preserve">Tierras raras: 40% en China  </w:t>
      </w:r>
    </w:p>
    <w:p w:rsidR="00AA6577" w:rsidRPr="006A1884" w:rsidRDefault="00F43E06" w:rsidP="00683A6B">
      <w:pPr>
        <w:pStyle w:val="Prrafodelista"/>
        <w:numPr>
          <w:ilvl w:val="0"/>
          <w:numId w:val="4"/>
        </w:numPr>
        <w:jc w:val="both"/>
        <w:rPr>
          <w:rFonts w:ascii="Arial" w:hAnsi="Arial" w:cs="Arial"/>
          <w:sz w:val="24"/>
          <w:szCs w:val="24"/>
          <w:lang w:val="es-VE"/>
        </w:rPr>
      </w:pPr>
      <w:r w:rsidRPr="006A1884">
        <w:rPr>
          <w:rFonts w:ascii="Arial" w:hAnsi="Arial" w:cs="Arial"/>
          <w:sz w:val="24"/>
          <w:szCs w:val="24"/>
          <w:lang w:val="es-VE"/>
        </w:rPr>
        <w:t xml:space="preserve">Grafito: 25% en Turquía  </w:t>
      </w:r>
    </w:p>
    <w:p w:rsidR="00AA6577" w:rsidRPr="006A1884" w:rsidRDefault="00F43E06" w:rsidP="00683A6B">
      <w:pPr>
        <w:jc w:val="both"/>
        <w:rPr>
          <w:rFonts w:ascii="Arial" w:hAnsi="Arial" w:cs="Arial"/>
          <w:sz w:val="24"/>
          <w:szCs w:val="24"/>
          <w:lang w:val="es-VE"/>
        </w:rPr>
      </w:pPr>
      <w:r w:rsidRPr="006A1884">
        <w:rPr>
          <w:rFonts w:ascii="Arial" w:hAnsi="Arial" w:cs="Arial"/>
          <w:sz w:val="24"/>
          <w:szCs w:val="24"/>
          <w:lang w:val="es-VE"/>
        </w:rPr>
        <w:t xml:space="preserve">Esta concentración crea vulnerabilidades en la cadena de </w:t>
      </w:r>
      <w:r w:rsidRPr="006A1884">
        <w:rPr>
          <w:rFonts w:ascii="Arial" w:hAnsi="Arial" w:cs="Arial"/>
          <w:sz w:val="24"/>
          <w:szCs w:val="24"/>
          <w:lang w:val="es-VE"/>
        </w:rPr>
        <w:t>suministro global, similar a las crisis petroleras del pasado y a su vez, está concentración geográfica de las reservas, trae oportunidades y riesgos para países productores.</w:t>
      </w:r>
    </w:p>
    <w:p w:rsidR="00AA6577" w:rsidRPr="006A1884" w:rsidRDefault="00F43E06" w:rsidP="00683A6B">
      <w:pPr>
        <w:jc w:val="both"/>
        <w:rPr>
          <w:rFonts w:ascii="Arial" w:hAnsi="Arial" w:cs="Arial"/>
          <w:sz w:val="24"/>
          <w:szCs w:val="24"/>
          <w:lang w:val="es-VE"/>
        </w:rPr>
      </w:pPr>
      <w:r w:rsidRPr="006A1884">
        <w:rPr>
          <w:rFonts w:ascii="Arial" w:hAnsi="Arial" w:cs="Arial"/>
          <w:sz w:val="24"/>
          <w:szCs w:val="24"/>
          <w:lang w:val="es-VE"/>
        </w:rPr>
        <w:lastRenderedPageBreak/>
        <w:t>Como ejemplos de casos de éxito tenemos a Chile que implementó un modelo de royal</w:t>
      </w:r>
      <w:r w:rsidRPr="006A1884">
        <w:rPr>
          <w:rFonts w:ascii="Arial" w:hAnsi="Arial" w:cs="Arial"/>
          <w:sz w:val="24"/>
          <w:szCs w:val="24"/>
          <w:lang w:val="es-VE"/>
        </w:rPr>
        <w:t>ties diferenciados para el litio, pasando de exportar carbonato a producir baterías localmente. También Indonesia prohibió la exportación de níquel sin procesar en 2020, logrando atraer 21.000 millones USD en inversiones para plantas de refinación. De igua</w:t>
      </w:r>
      <w:r w:rsidRPr="006A1884">
        <w:rPr>
          <w:rFonts w:ascii="Arial" w:hAnsi="Arial" w:cs="Arial"/>
          <w:sz w:val="24"/>
          <w:szCs w:val="24"/>
          <w:lang w:val="es-VE"/>
        </w:rPr>
        <w:t>l manera Marruecos se posiciona como el segundo productor mundial de fosfatos para fertilizantes, esenciales para la agricultura sostenible.</w:t>
      </w:r>
    </w:p>
    <w:p w:rsidR="00AA6577" w:rsidRPr="006A1884" w:rsidRDefault="00F43E06" w:rsidP="00683A6B">
      <w:pPr>
        <w:jc w:val="both"/>
        <w:rPr>
          <w:rFonts w:ascii="Arial" w:hAnsi="Arial" w:cs="Arial"/>
          <w:sz w:val="24"/>
          <w:szCs w:val="24"/>
          <w:lang w:val="es-VE"/>
        </w:rPr>
      </w:pPr>
      <w:r w:rsidRPr="006A1884">
        <w:rPr>
          <w:rFonts w:ascii="Arial" w:hAnsi="Arial" w:cs="Arial"/>
          <w:sz w:val="24"/>
          <w:szCs w:val="24"/>
          <w:lang w:val="es-VE"/>
        </w:rPr>
        <w:t xml:space="preserve">Dentro de los riesgos y conflictos tenemos países como el Congo (cobalto) y Guinea (bauxita) enfrentan corrupción, </w:t>
      </w:r>
      <w:r w:rsidRPr="006A1884">
        <w:rPr>
          <w:rFonts w:ascii="Arial" w:hAnsi="Arial" w:cs="Arial"/>
          <w:sz w:val="24"/>
          <w:szCs w:val="24"/>
          <w:lang w:val="es-VE"/>
        </w:rPr>
        <w:t>conflictos armados y degradación ambiental pese a sus riquezas minerales. En Argentina, la minería de litio consume 2 millones de litros de agua por tonelada producida, afectando a comunidades indígenas. Por otro lado la dependencia tecnológica afecta a Áf</w:t>
      </w:r>
      <w:r w:rsidRPr="006A1884">
        <w:rPr>
          <w:rFonts w:ascii="Arial" w:hAnsi="Arial" w:cs="Arial"/>
          <w:sz w:val="24"/>
          <w:szCs w:val="24"/>
          <w:lang w:val="es-VE"/>
        </w:rPr>
        <w:t xml:space="preserve">rica la que posee el 30% </w:t>
      </w:r>
      <w:r w:rsidR="006A1884" w:rsidRPr="006A1884">
        <w:rPr>
          <w:rFonts w:ascii="Arial" w:hAnsi="Arial" w:cs="Arial"/>
          <w:sz w:val="24"/>
          <w:szCs w:val="24"/>
          <w:lang w:val="es-VE"/>
        </w:rPr>
        <w:t>de los recursos minerales críticos pero solos</w:t>
      </w:r>
      <w:r w:rsidRPr="006A1884">
        <w:rPr>
          <w:rFonts w:ascii="Arial" w:hAnsi="Arial" w:cs="Arial"/>
          <w:sz w:val="24"/>
          <w:szCs w:val="24"/>
          <w:lang w:val="es-VE"/>
        </w:rPr>
        <w:t xml:space="preserve"> participa con el 1% en patentes de energías limpias.  </w:t>
      </w:r>
    </w:p>
    <w:p w:rsidR="00AA6577" w:rsidRPr="006A1884" w:rsidRDefault="00F43E06" w:rsidP="00683A6B">
      <w:pPr>
        <w:jc w:val="both"/>
        <w:rPr>
          <w:rFonts w:ascii="Arial" w:hAnsi="Arial" w:cs="Arial"/>
          <w:sz w:val="24"/>
          <w:szCs w:val="24"/>
          <w:lang w:val="es-VE"/>
        </w:rPr>
      </w:pPr>
      <w:r w:rsidRPr="006A1884">
        <w:rPr>
          <w:rFonts w:ascii="Arial" w:hAnsi="Arial" w:cs="Arial"/>
          <w:sz w:val="24"/>
          <w:szCs w:val="24"/>
          <w:lang w:val="es-VE"/>
        </w:rPr>
        <w:t xml:space="preserve">Estás condiciones ha llevado a confeccionar </w:t>
      </w:r>
      <w:r w:rsidR="006A1884" w:rsidRPr="006A1884">
        <w:rPr>
          <w:rFonts w:ascii="Arial" w:hAnsi="Arial" w:cs="Arial"/>
          <w:sz w:val="24"/>
          <w:szCs w:val="24"/>
          <w:lang w:val="es-VE"/>
        </w:rPr>
        <w:t>respuestas</w:t>
      </w:r>
      <w:r w:rsidRPr="006A1884">
        <w:rPr>
          <w:rFonts w:ascii="Arial" w:hAnsi="Arial" w:cs="Arial"/>
          <w:sz w:val="24"/>
          <w:szCs w:val="24"/>
          <w:lang w:val="es-VE"/>
        </w:rPr>
        <w:t xml:space="preserve"> estratégicas por parte de los bloques económicos:</w:t>
      </w:r>
    </w:p>
    <w:p w:rsidR="00AA6577" w:rsidRPr="006A1884" w:rsidRDefault="00F43E06" w:rsidP="00683A6B">
      <w:pPr>
        <w:pStyle w:val="Prrafodelista"/>
        <w:numPr>
          <w:ilvl w:val="0"/>
          <w:numId w:val="1"/>
        </w:numPr>
        <w:jc w:val="both"/>
        <w:rPr>
          <w:rFonts w:ascii="Arial" w:hAnsi="Arial" w:cs="Arial"/>
          <w:sz w:val="24"/>
          <w:szCs w:val="24"/>
          <w:lang w:val="es-VE"/>
        </w:rPr>
      </w:pPr>
      <w:r w:rsidRPr="006A1884">
        <w:rPr>
          <w:rFonts w:ascii="Arial" w:hAnsi="Arial" w:cs="Arial"/>
          <w:sz w:val="24"/>
          <w:szCs w:val="24"/>
          <w:lang w:val="es-VE"/>
        </w:rPr>
        <w:t>Estados Unidos implementa l</w:t>
      </w:r>
      <w:r w:rsidRPr="006A1884">
        <w:rPr>
          <w:rFonts w:ascii="Arial" w:hAnsi="Arial" w:cs="Arial"/>
          <w:sz w:val="24"/>
          <w:szCs w:val="24"/>
          <w:lang w:val="es-VE"/>
        </w:rPr>
        <w:t xml:space="preserve">a Ley de Reducción de la Inflación (IRA) donde incluye 369.000 millones USD en subsidios para vehículos eléctricos, condicionados al uso de minerales extraídos o procesados en EE.UU. o países aliados.  </w:t>
      </w:r>
    </w:p>
    <w:p w:rsidR="00AA6577" w:rsidRPr="006A1884" w:rsidRDefault="00F43E06" w:rsidP="00683A6B">
      <w:pPr>
        <w:pStyle w:val="Prrafodelista"/>
        <w:numPr>
          <w:ilvl w:val="0"/>
          <w:numId w:val="1"/>
        </w:numPr>
        <w:jc w:val="both"/>
        <w:rPr>
          <w:rFonts w:ascii="Arial" w:hAnsi="Arial" w:cs="Arial"/>
          <w:sz w:val="24"/>
          <w:szCs w:val="24"/>
          <w:lang w:val="es-VE"/>
        </w:rPr>
      </w:pPr>
      <w:r w:rsidRPr="006A1884">
        <w:rPr>
          <w:rFonts w:ascii="Arial" w:hAnsi="Arial" w:cs="Arial"/>
          <w:sz w:val="24"/>
          <w:szCs w:val="24"/>
          <w:lang w:val="es-VE"/>
        </w:rPr>
        <w:t>Unión Europea ejecuta el Reglamento de Minerales Crít</w:t>
      </w:r>
      <w:r w:rsidRPr="006A1884">
        <w:rPr>
          <w:rFonts w:ascii="Arial" w:hAnsi="Arial" w:cs="Arial"/>
          <w:sz w:val="24"/>
          <w:szCs w:val="24"/>
          <w:lang w:val="es-VE"/>
        </w:rPr>
        <w:t xml:space="preserve">icos (2023) donde exige trazabilidad total para evitar minerales de zonas en conflicto y promueve acuerdos con Canadá y Groenlandia.  </w:t>
      </w:r>
    </w:p>
    <w:p w:rsidR="00AA6577" w:rsidRPr="006A1884" w:rsidRDefault="00F43E06" w:rsidP="00683A6B">
      <w:pPr>
        <w:pStyle w:val="Prrafodelista"/>
        <w:numPr>
          <w:ilvl w:val="0"/>
          <w:numId w:val="1"/>
        </w:numPr>
        <w:jc w:val="both"/>
        <w:rPr>
          <w:rFonts w:ascii="Arial" w:hAnsi="Arial" w:cs="Arial"/>
          <w:sz w:val="24"/>
          <w:szCs w:val="24"/>
          <w:lang w:val="es-VE"/>
        </w:rPr>
      </w:pPr>
      <w:r w:rsidRPr="006A1884">
        <w:rPr>
          <w:rFonts w:ascii="Arial" w:hAnsi="Arial" w:cs="Arial"/>
          <w:sz w:val="24"/>
          <w:szCs w:val="24"/>
          <w:lang w:val="es-VE"/>
        </w:rPr>
        <w:t xml:space="preserve">China, por su parte, controla el 75% de la producción de baterías y el 90% de los componentes solares.  </w:t>
      </w:r>
    </w:p>
    <w:p w:rsidR="00AA6577" w:rsidRPr="006A1884" w:rsidRDefault="00F43E06" w:rsidP="00683A6B">
      <w:pPr>
        <w:jc w:val="both"/>
        <w:rPr>
          <w:rFonts w:ascii="Arial" w:hAnsi="Arial" w:cs="Arial"/>
          <w:sz w:val="24"/>
          <w:szCs w:val="24"/>
          <w:lang w:val="es-VE"/>
        </w:rPr>
      </w:pPr>
      <w:r w:rsidRPr="006A1884">
        <w:rPr>
          <w:rFonts w:ascii="Arial" w:hAnsi="Arial" w:cs="Arial"/>
          <w:sz w:val="24"/>
          <w:szCs w:val="24"/>
          <w:lang w:val="es-VE"/>
        </w:rPr>
        <w:t>También se ponen</w:t>
      </w:r>
      <w:r w:rsidRPr="006A1884">
        <w:rPr>
          <w:rFonts w:ascii="Arial" w:hAnsi="Arial" w:cs="Arial"/>
          <w:sz w:val="24"/>
          <w:szCs w:val="24"/>
          <w:lang w:val="es-VE"/>
        </w:rPr>
        <w:t xml:space="preserve"> en práctica alternativas emergentes como la economía circular. Ejemplos tales como las empresas Redwood </w:t>
      </w:r>
      <w:proofErr w:type="spellStart"/>
      <w:r w:rsidRPr="006A1884">
        <w:rPr>
          <w:rFonts w:ascii="Arial" w:hAnsi="Arial" w:cs="Arial"/>
          <w:sz w:val="24"/>
          <w:szCs w:val="24"/>
          <w:lang w:val="es-VE"/>
        </w:rPr>
        <w:t>Materials</w:t>
      </w:r>
      <w:proofErr w:type="spellEnd"/>
      <w:r w:rsidRPr="006A1884">
        <w:rPr>
          <w:rFonts w:ascii="Arial" w:hAnsi="Arial" w:cs="Arial"/>
          <w:sz w:val="24"/>
          <w:szCs w:val="24"/>
          <w:lang w:val="es-VE"/>
        </w:rPr>
        <w:t xml:space="preserve"> (EE.UU.) y </w:t>
      </w:r>
      <w:proofErr w:type="spellStart"/>
      <w:r w:rsidRPr="006A1884">
        <w:rPr>
          <w:rFonts w:ascii="Arial" w:hAnsi="Arial" w:cs="Arial"/>
          <w:sz w:val="24"/>
          <w:szCs w:val="24"/>
          <w:lang w:val="es-VE"/>
        </w:rPr>
        <w:t>Northvolt</w:t>
      </w:r>
      <w:proofErr w:type="spellEnd"/>
      <w:r w:rsidRPr="006A1884">
        <w:rPr>
          <w:rFonts w:ascii="Arial" w:hAnsi="Arial" w:cs="Arial"/>
          <w:sz w:val="24"/>
          <w:szCs w:val="24"/>
          <w:lang w:val="es-VE"/>
        </w:rPr>
        <w:t xml:space="preserve"> (Suecia) están logrando recuperar 95% del cobalto y níquel de baterías recicladas. También los sustitutos tecnológicos c</w:t>
      </w:r>
      <w:r w:rsidRPr="006A1884">
        <w:rPr>
          <w:rFonts w:ascii="Arial" w:hAnsi="Arial" w:cs="Arial"/>
          <w:sz w:val="24"/>
          <w:szCs w:val="24"/>
          <w:lang w:val="es-VE"/>
        </w:rPr>
        <w:t xml:space="preserve">omo el uso de baterías de sodio (sin litio) desarrolladas por CATL ya equipan 500.000 vehículos en China y la investigación en imanes sin tierras raras para turbinas eólicas, liderada por Japón y Alemania.  </w:t>
      </w:r>
    </w:p>
    <w:p w:rsidR="00AA6577" w:rsidRPr="006A1884" w:rsidRDefault="00F43E06" w:rsidP="00683A6B">
      <w:pPr>
        <w:jc w:val="both"/>
        <w:rPr>
          <w:rFonts w:ascii="Arial" w:hAnsi="Arial" w:cs="Arial"/>
          <w:sz w:val="24"/>
          <w:szCs w:val="24"/>
          <w:lang w:val="es-VE"/>
        </w:rPr>
      </w:pPr>
      <w:r w:rsidRPr="006A1884">
        <w:rPr>
          <w:rFonts w:ascii="Arial" w:hAnsi="Arial" w:cs="Arial"/>
          <w:sz w:val="24"/>
          <w:szCs w:val="24"/>
          <w:lang w:val="es-VE"/>
        </w:rPr>
        <w:t xml:space="preserve">La carrera por los minerales críticos ha creado </w:t>
      </w:r>
      <w:r w:rsidRPr="006A1884">
        <w:rPr>
          <w:rFonts w:ascii="Arial" w:hAnsi="Arial" w:cs="Arial"/>
          <w:sz w:val="24"/>
          <w:szCs w:val="24"/>
          <w:lang w:val="es-VE"/>
        </w:rPr>
        <w:t>una nueva "geopolítica de la transición energética", donde el control de estos recursos determina el poder económico del siglo XXI. Mientras algunos países logran capitalizar sus reservas mediante industrialización local, otros caen en nuevas formas de dep</w:t>
      </w:r>
      <w:r w:rsidRPr="006A1884">
        <w:rPr>
          <w:rFonts w:ascii="Arial" w:hAnsi="Arial" w:cs="Arial"/>
          <w:sz w:val="24"/>
          <w:szCs w:val="24"/>
          <w:lang w:val="es-VE"/>
        </w:rPr>
        <w:t xml:space="preserve">endencia. La solución requiere cooperación internacional, estándares ambientales estrictos y acelerar innovaciones que reduzcan la dependencia de estos materiales estratégicos. El desafío es evitar que la transición verde reproduzca los errores del </w:t>
      </w:r>
      <w:proofErr w:type="spellStart"/>
      <w:r w:rsidRPr="006A1884">
        <w:rPr>
          <w:rFonts w:ascii="Arial" w:hAnsi="Arial" w:cs="Arial"/>
          <w:sz w:val="24"/>
          <w:szCs w:val="24"/>
          <w:lang w:val="es-VE"/>
        </w:rPr>
        <w:t>extract</w:t>
      </w:r>
      <w:r w:rsidRPr="006A1884">
        <w:rPr>
          <w:rFonts w:ascii="Arial" w:hAnsi="Arial" w:cs="Arial"/>
          <w:sz w:val="24"/>
          <w:szCs w:val="24"/>
          <w:lang w:val="es-VE"/>
        </w:rPr>
        <w:t>ivismo</w:t>
      </w:r>
      <w:proofErr w:type="spellEnd"/>
      <w:r w:rsidRPr="006A1884">
        <w:rPr>
          <w:rFonts w:ascii="Arial" w:hAnsi="Arial" w:cs="Arial"/>
          <w:sz w:val="24"/>
          <w:szCs w:val="24"/>
          <w:lang w:val="es-VE"/>
        </w:rPr>
        <w:t xml:space="preserve"> tradicional.</w:t>
      </w:r>
    </w:p>
    <w:p w:rsidR="00AA6577" w:rsidRPr="006A1884" w:rsidRDefault="00F43E06" w:rsidP="00683A6B">
      <w:pPr>
        <w:jc w:val="both"/>
        <w:rPr>
          <w:rFonts w:ascii="Arial" w:hAnsi="Arial" w:cs="Arial"/>
          <w:sz w:val="24"/>
          <w:szCs w:val="24"/>
          <w:lang w:val="es-VE"/>
        </w:rPr>
      </w:pPr>
      <w:r w:rsidRPr="006A1884">
        <w:rPr>
          <w:rFonts w:ascii="Arial" w:hAnsi="Arial" w:cs="Arial"/>
          <w:b/>
          <w:bCs/>
          <w:sz w:val="24"/>
          <w:szCs w:val="24"/>
          <w:lang w:val="es-VE"/>
        </w:rPr>
        <w:t xml:space="preserve">3. Desarrollo sostenible: Equidad y justicia en la transición energética </w:t>
      </w:r>
      <w:r w:rsidRPr="006A1884">
        <w:rPr>
          <w:rFonts w:ascii="Arial" w:hAnsi="Arial" w:cs="Arial"/>
          <w:sz w:val="24"/>
          <w:szCs w:val="24"/>
          <w:lang w:val="es-VE"/>
        </w:rPr>
        <w:t xml:space="preserve"> </w:t>
      </w:r>
    </w:p>
    <w:p w:rsidR="00AA6577" w:rsidRPr="006A1884" w:rsidRDefault="00F43E06" w:rsidP="00683A6B">
      <w:pPr>
        <w:jc w:val="both"/>
        <w:rPr>
          <w:rFonts w:ascii="Arial" w:hAnsi="Arial" w:cs="Arial"/>
          <w:sz w:val="24"/>
          <w:szCs w:val="24"/>
          <w:lang w:val="es-VE"/>
        </w:rPr>
      </w:pPr>
      <w:r w:rsidRPr="006A1884">
        <w:rPr>
          <w:rFonts w:ascii="Arial" w:hAnsi="Arial" w:cs="Arial"/>
          <w:sz w:val="24"/>
          <w:szCs w:val="24"/>
          <w:lang w:val="es-VE"/>
        </w:rPr>
        <w:lastRenderedPageBreak/>
        <w:t>La transición energética no solo es un desafío tecnológico y ambiental, sino también una oportunidad para redefinir modelos de desarrollo más inclusivos. Sin emb</w:t>
      </w:r>
      <w:r w:rsidRPr="006A1884">
        <w:rPr>
          <w:rFonts w:ascii="Arial" w:hAnsi="Arial" w:cs="Arial"/>
          <w:sz w:val="24"/>
          <w:szCs w:val="24"/>
          <w:lang w:val="es-VE"/>
        </w:rPr>
        <w:t xml:space="preserve">argo, su éxito depende de abordar las desigualdades históricas en el acceso a la energía, garantizar empleos dignos en nuevas industrias verdes y proteger a las comunidades vulnerables frente a los impactos del cambio estructural.  </w:t>
      </w:r>
    </w:p>
    <w:p w:rsidR="00AA6577" w:rsidRPr="006A1884" w:rsidRDefault="00F43E06" w:rsidP="00683A6B">
      <w:pPr>
        <w:jc w:val="both"/>
        <w:rPr>
          <w:rFonts w:ascii="Arial" w:hAnsi="Arial" w:cs="Arial"/>
          <w:sz w:val="24"/>
          <w:szCs w:val="24"/>
          <w:lang w:val="es-VE"/>
        </w:rPr>
      </w:pPr>
      <w:r w:rsidRPr="006A1884">
        <w:rPr>
          <w:rFonts w:ascii="Arial" w:hAnsi="Arial" w:cs="Arial"/>
          <w:sz w:val="24"/>
          <w:szCs w:val="24"/>
          <w:lang w:val="es-VE"/>
        </w:rPr>
        <w:t>Como deuda pendiente se</w:t>
      </w:r>
      <w:r w:rsidRPr="006A1884">
        <w:rPr>
          <w:rFonts w:ascii="Arial" w:hAnsi="Arial" w:cs="Arial"/>
          <w:sz w:val="24"/>
          <w:szCs w:val="24"/>
          <w:lang w:val="es-VE"/>
        </w:rPr>
        <w:t xml:space="preserve"> mantiene el acceso universal a energía limpia, la cual a pesar de los avances, persisten brechas críticas. En este marco se aprecian cifras alarmantes, según la ONU, 675 millones de personas carecen de electricidad (el 90% en África subsahariana), y 2.300</w:t>
      </w:r>
      <w:r w:rsidRPr="006A1884">
        <w:rPr>
          <w:rFonts w:ascii="Arial" w:hAnsi="Arial" w:cs="Arial"/>
          <w:sz w:val="24"/>
          <w:szCs w:val="24"/>
          <w:lang w:val="es-VE"/>
        </w:rPr>
        <w:t xml:space="preserve"> millones dependen de combustibles contaminantes para cocinar, con graves consecuencias para la salud y el medioambiente. De igual manera para contrarrestar la brecha se presentan soluciones locales donde  proyectos como los sistemas solares descentralizad</w:t>
      </w:r>
      <w:r w:rsidRPr="006A1884">
        <w:rPr>
          <w:rFonts w:ascii="Arial" w:hAnsi="Arial" w:cs="Arial"/>
          <w:sz w:val="24"/>
          <w:szCs w:val="24"/>
          <w:lang w:val="es-VE"/>
        </w:rPr>
        <w:t xml:space="preserve">os en </w:t>
      </w:r>
      <w:proofErr w:type="spellStart"/>
      <w:r w:rsidRPr="006A1884">
        <w:rPr>
          <w:rFonts w:ascii="Arial" w:hAnsi="Arial" w:cs="Arial"/>
          <w:sz w:val="24"/>
          <w:szCs w:val="24"/>
          <w:lang w:val="es-VE"/>
        </w:rPr>
        <w:t>Rwanda</w:t>
      </w:r>
      <w:proofErr w:type="spellEnd"/>
      <w:r w:rsidRPr="006A1884">
        <w:rPr>
          <w:rFonts w:ascii="Arial" w:hAnsi="Arial" w:cs="Arial"/>
          <w:sz w:val="24"/>
          <w:szCs w:val="24"/>
          <w:lang w:val="es-VE"/>
        </w:rPr>
        <w:t xml:space="preserve"> o las cocinas de biogás en India demuestran que las energías renovables pueden llegar a zonas remotas, pero requieren financiamiento internacional. Por ejemplo, Costa Rica implementa la Estrategia Nacional de </w:t>
      </w:r>
      <w:proofErr w:type="spellStart"/>
      <w:r w:rsidRPr="006A1884">
        <w:rPr>
          <w:rFonts w:ascii="Arial" w:hAnsi="Arial" w:cs="Arial"/>
          <w:sz w:val="24"/>
          <w:szCs w:val="24"/>
          <w:lang w:val="es-VE"/>
        </w:rPr>
        <w:t>Biometano</w:t>
      </w:r>
      <w:proofErr w:type="spellEnd"/>
      <w:r w:rsidRPr="006A1884">
        <w:rPr>
          <w:rFonts w:ascii="Arial" w:hAnsi="Arial" w:cs="Arial"/>
          <w:sz w:val="24"/>
          <w:szCs w:val="24"/>
          <w:lang w:val="es-VE"/>
        </w:rPr>
        <w:t xml:space="preserve"> 2025-2040 para convertir</w:t>
      </w:r>
      <w:r w:rsidRPr="006A1884">
        <w:rPr>
          <w:rFonts w:ascii="Arial" w:hAnsi="Arial" w:cs="Arial"/>
          <w:sz w:val="24"/>
          <w:szCs w:val="24"/>
          <w:lang w:val="es-VE"/>
        </w:rPr>
        <w:t xml:space="preserve"> residuos agropecuarios en energía l</w:t>
      </w:r>
      <w:r w:rsidR="006A1884">
        <w:rPr>
          <w:rFonts w:ascii="Arial" w:hAnsi="Arial" w:cs="Arial"/>
          <w:sz w:val="24"/>
          <w:szCs w:val="24"/>
          <w:lang w:val="es-VE"/>
        </w:rPr>
        <w:t>impia y generar empleos rurales</w:t>
      </w:r>
      <w:r w:rsidRPr="006A1884">
        <w:rPr>
          <w:rFonts w:ascii="Arial" w:hAnsi="Arial" w:cs="Arial"/>
          <w:sz w:val="24"/>
          <w:szCs w:val="24"/>
          <w:lang w:val="es-VE"/>
        </w:rPr>
        <w:t xml:space="preserve">.  </w:t>
      </w:r>
    </w:p>
    <w:p w:rsidR="00AA6577" w:rsidRPr="006A1884" w:rsidRDefault="00F43E06" w:rsidP="00683A6B">
      <w:pPr>
        <w:jc w:val="both"/>
        <w:rPr>
          <w:rFonts w:ascii="Arial" w:hAnsi="Arial" w:cs="Arial"/>
          <w:sz w:val="24"/>
          <w:szCs w:val="24"/>
          <w:lang w:val="es-VE"/>
        </w:rPr>
      </w:pPr>
      <w:r w:rsidRPr="006A1884">
        <w:rPr>
          <w:rFonts w:ascii="Arial" w:hAnsi="Arial" w:cs="Arial"/>
          <w:sz w:val="24"/>
          <w:szCs w:val="24"/>
          <w:lang w:val="es-VE"/>
        </w:rPr>
        <w:t>El abandono de los combustibles fósiles debe gestionarse sin dejar a nadie atrás. La AIE estima que la transición creará 14 millones de empleos verdes para 2030 (frente a 5 millones pe</w:t>
      </w:r>
      <w:r w:rsidRPr="006A1884">
        <w:rPr>
          <w:rFonts w:ascii="Arial" w:hAnsi="Arial" w:cs="Arial"/>
          <w:sz w:val="24"/>
          <w:szCs w:val="24"/>
          <w:lang w:val="es-VE"/>
        </w:rPr>
        <w:t xml:space="preserve">rdidos en sectores fósiles), pero exige capacitación. Alemania, por ejemplo, invierte en programas de formación para mineros del carbón en Renania. En contraste en Colombia en la región del Putumayo, región petrolera, la caída de la producción amenaza con </w:t>
      </w:r>
      <w:r w:rsidRPr="006A1884">
        <w:rPr>
          <w:rFonts w:ascii="Arial" w:hAnsi="Arial" w:cs="Arial"/>
          <w:sz w:val="24"/>
          <w:szCs w:val="24"/>
          <w:lang w:val="es-VE"/>
        </w:rPr>
        <w:t>crisis económica. Organizaciones proponen planes de diversificación hacia agricultura sostenible y ecoturismo, respaldados por fo</w:t>
      </w:r>
      <w:r w:rsidR="006A1884">
        <w:rPr>
          <w:rFonts w:ascii="Arial" w:hAnsi="Arial" w:cs="Arial"/>
          <w:sz w:val="24"/>
          <w:szCs w:val="24"/>
          <w:lang w:val="es-VE"/>
        </w:rPr>
        <w:t>ndos climáticos internacionales</w:t>
      </w:r>
      <w:r w:rsidRPr="006A1884">
        <w:rPr>
          <w:rFonts w:ascii="Arial" w:hAnsi="Arial" w:cs="Arial"/>
          <w:sz w:val="24"/>
          <w:szCs w:val="24"/>
          <w:lang w:val="es-VE"/>
        </w:rPr>
        <w:t xml:space="preserve">.  </w:t>
      </w:r>
    </w:p>
    <w:p w:rsidR="00AA6577" w:rsidRPr="006A1884" w:rsidRDefault="00F43E06" w:rsidP="00683A6B">
      <w:pPr>
        <w:jc w:val="both"/>
        <w:rPr>
          <w:rFonts w:ascii="Arial" w:hAnsi="Arial" w:cs="Arial"/>
          <w:sz w:val="24"/>
          <w:szCs w:val="24"/>
          <w:lang w:val="es-VE"/>
        </w:rPr>
      </w:pPr>
      <w:r w:rsidRPr="006A1884">
        <w:rPr>
          <w:rFonts w:ascii="Arial" w:hAnsi="Arial" w:cs="Arial"/>
          <w:sz w:val="24"/>
          <w:szCs w:val="24"/>
          <w:lang w:val="es-VE"/>
        </w:rPr>
        <w:t>La explotación de minerales críticos y megaproyectos renovables genera tensiones, c</w:t>
      </w:r>
      <w:r w:rsidRPr="006A1884">
        <w:rPr>
          <w:rFonts w:ascii="Arial" w:hAnsi="Arial" w:cs="Arial"/>
          <w:sz w:val="24"/>
          <w:szCs w:val="24"/>
          <w:lang w:val="es-VE"/>
        </w:rPr>
        <w:t>onflicto</w:t>
      </w:r>
      <w:r w:rsidRPr="006A1884">
        <w:rPr>
          <w:rFonts w:ascii="Arial" w:hAnsi="Arial" w:cs="Arial"/>
          <w:sz w:val="24"/>
          <w:szCs w:val="24"/>
          <w:lang w:val="es-VE"/>
        </w:rPr>
        <w:t xml:space="preserve">s y oportunidades en comunidades indígenas. </w:t>
      </w:r>
      <w:r w:rsidRPr="006A1884">
        <w:rPr>
          <w:rFonts w:ascii="Arial" w:hAnsi="Arial" w:cs="Arial"/>
          <w:sz w:val="24"/>
          <w:szCs w:val="24"/>
          <w:lang w:val="es-VE"/>
        </w:rPr>
        <w:t>En el "Triángulo del Litio" (Argentina, Bolivia, Chile), la minería consume 2 millones de litros de agua por tonelada, afectando a pueblos originarios y creando r</w:t>
      </w:r>
      <w:r w:rsidRPr="006A1884">
        <w:rPr>
          <w:rFonts w:ascii="Arial" w:hAnsi="Arial" w:cs="Arial"/>
          <w:sz w:val="24"/>
          <w:szCs w:val="24"/>
          <w:lang w:val="es-VE"/>
        </w:rPr>
        <w:t>iesgos ambientales. Las o</w:t>
      </w:r>
      <w:r w:rsidRPr="006A1884">
        <w:rPr>
          <w:rFonts w:ascii="Arial" w:hAnsi="Arial" w:cs="Arial"/>
          <w:sz w:val="24"/>
          <w:szCs w:val="24"/>
          <w:lang w:val="es-VE"/>
        </w:rPr>
        <w:t>rganizaciones exigen cons</w:t>
      </w:r>
      <w:r w:rsidRPr="006A1884">
        <w:rPr>
          <w:rFonts w:ascii="Arial" w:hAnsi="Arial" w:cs="Arial"/>
          <w:sz w:val="24"/>
          <w:szCs w:val="24"/>
          <w:lang w:val="es-VE"/>
        </w:rPr>
        <w:t>ultas previas y reparto justo de beneficios. En contra parte, en a</w:t>
      </w:r>
      <w:r w:rsidRPr="006A1884">
        <w:rPr>
          <w:rFonts w:ascii="Arial" w:hAnsi="Arial" w:cs="Arial"/>
          <w:sz w:val="24"/>
          <w:szCs w:val="24"/>
          <w:lang w:val="es-VE"/>
        </w:rPr>
        <w:t>lgunas comunidades, como las cooperativas eólicas en Oaxaca (México), gestionan proyectos renovables con autonomía, combinando tradición y tecnología fomentando m</w:t>
      </w:r>
      <w:r w:rsidRPr="006A1884">
        <w:rPr>
          <w:rFonts w:ascii="Arial" w:hAnsi="Arial" w:cs="Arial"/>
          <w:sz w:val="24"/>
          <w:szCs w:val="24"/>
          <w:lang w:val="es-VE"/>
        </w:rPr>
        <w:t>odelos alternativos.</w:t>
      </w:r>
    </w:p>
    <w:p w:rsidR="00AA6577" w:rsidRPr="006A1884" w:rsidRDefault="00F43E06" w:rsidP="00683A6B">
      <w:pPr>
        <w:jc w:val="both"/>
        <w:rPr>
          <w:rFonts w:ascii="Arial" w:hAnsi="Arial" w:cs="Arial"/>
          <w:sz w:val="24"/>
          <w:szCs w:val="24"/>
          <w:lang w:val="es-VE"/>
        </w:rPr>
      </w:pPr>
      <w:r w:rsidRPr="006A1884">
        <w:rPr>
          <w:rFonts w:ascii="Arial" w:hAnsi="Arial" w:cs="Arial"/>
          <w:sz w:val="24"/>
          <w:szCs w:val="24"/>
          <w:lang w:val="es-VE"/>
        </w:rPr>
        <w:t>Citando</w:t>
      </w:r>
      <w:r w:rsidRPr="006A1884">
        <w:rPr>
          <w:rFonts w:ascii="Arial" w:hAnsi="Arial" w:cs="Arial"/>
          <w:sz w:val="24"/>
          <w:szCs w:val="24"/>
          <w:lang w:val="es-VE"/>
        </w:rPr>
        <w:t xml:space="preserve"> ejemplos de marcos regulatorios inclusivos y p</w:t>
      </w:r>
      <w:r w:rsidRPr="006A1884">
        <w:rPr>
          <w:rFonts w:ascii="Arial" w:hAnsi="Arial" w:cs="Arial"/>
          <w:sz w:val="24"/>
          <w:szCs w:val="24"/>
          <w:lang w:val="es-VE"/>
        </w:rPr>
        <w:t xml:space="preserve">olíticas públicas para la equidad en este marco tenemos a la </w:t>
      </w:r>
      <w:r w:rsidRPr="006A1884">
        <w:rPr>
          <w:rFonts w:ascii="Arial" w:hAnsi="Arial" w:cs="Arial"/>
          <w:sz w:val="24"/>
          <w:szCs w:val="24"/>
          <w:lang w:val="es-VE"/>
        </w:rPr>
        <w:t>UE y el "principio de neutralidad tecnológica", donde la taxonomía verde europea incluye nuclear y gas como "energías de transición", pero exige pla</w:t>
      </w:r>
      <w:r w:rsidRPr="006A1884">
        <w:rPr>
          <w:rFonts w:ascii="Arial" w:hAnsi="Arial" w:cs="Arial"/>
          <w:sz w:val="24"/>
          <w:szCs w:val="24"/>
          <w:lang w:val="es-VE"/>
        </w:rPr>
        <w:t>nes de inclusión social y apoyo a regiones afectadas por el cierre de centrales. Por su parte China emplea e</w:t>
      </w:r>
      <w:r w:rsidRPr="006A1884">
        <w:rPr>
          <w:rFonts w:ascii="Arial" w:hAnsi="Arial" w:cs="Arial"/>
          <w:sz w:val="24"/>
          <w:szCs w:val="24"/>
          <w:lang w:val="es-VE"/>
        </w:rPr>
        <w:t xml:space="preserve">l plan "Energía Verde para Todos" con el cual ha </w:t>
      </w:r>
      <w:r w:rsidRPr="006A1884">
        <w:rPr>
          <w:rFonts w:ascii="Arial" w:hAnsi="Arial" w:cs="Arial"/>
          <w:sz w:val="24"/>
          <w:szCs w:val="24"/>
          <w:lang w:val="es-VE"/>
        </w:rPr>
        <w:lastRenderedPageBreak/>
        <w:t>electrificado 5 millones de hogares rurales con solar y biomasa, reduciendo emisiones, desigualdade</w:t>
      </w:r>
      <w:r w:rsidRPr="006A1884">
        <w:rPr>
          <w:rFonts w:ascii="Arial" w:hAnsi="Arial" w:cs="Arial"/>
          <w:sz w:val="24"/>
          <w:szCs w:val="24"/>
          <w:lang w:val="es-VE"/>
        </w:rPr>
        <w:t xml:space="preserve">s y erradicando </w:t>
      </w:r>
      <w:r w:rsidRPr="006A1884">
        <w:rPr>
          <w:rFonts w:ascii="Arial" w:hAnsi="Arial" w:cs="Arial"/>
          <w:sz w:val="24"/>
          <w:szCs w:val="24"/>
          <w:lang w:val="es-VE"/>
        </w:rPr>
        <w:t xml:space="preserve">la pobreza energética. </w:t>
      </w:r>
    </w:p>
    <w:p w:rsidR="00AA6577" w:rsidRPr="006A1884" w:rsidRDefault="00F43E06" w:rsidP="00683A6B">
      <w:pPr>
        <w:jc w:val="both"/>
        <w:rPr>
          <w:rFonts w:ascii="Arial" w:hAnsi="Arial" w:cs="Arial"/>
          <w:sz w:val="24"/>
          <w:szCs w:val="24"/>
          <w:lang w:val="es-VE"/>
        </w:rPr>
      </w:pPr>
      <w:r w:rsidRPr="006A1884">
        <w:rPr>
          <w:rFonts w:ascii="Arial" w:hAnsi="Arial" w:cs="Arial"/>
          <w:sz w:val="24"/>
          <w:szCs w:val="24"/>
          <w:lang w:val="es-VE"/>
        </w:rPr>
        <w:t xml:space="preserve">La transición energética debe ser inclusiva para evitar reproducir desigualdades históricas. Los países en desarrollo enfrentan barreras económicas:  </w:t>
      </w:r>
    </w:p>
    <w:p w:rsidR="00AA6577" w:rsidRPr="006A1884" w:rsidRDefault="00F43E06" w:rsidP="00683A6B">
      <w:pPr>
        <w:pStyle w:val="Prrafodelista"/>
        <w:numPr>
          <w:ilvl w:val="0"/>
          <w:numId w:val="2"/>
        </w:numPr>
        <w:jc w:val="both"/>
        <w:rPr>
          <w:rFonts w:ascii="Arial" w:hAnsi="Arial" w:cs="Arial"/>
          <w:sz w:val="24"/>
          <w:szCs w:val="24"/>
          <w:lang w:val="es-VE"/>
        </w:rPr>
      </w:pPr>
      <w:r w:rsidRPr="006A1884">
        <w:rPr>
          <w:rFonts w:ascii="Arial" w:hAnsi="Arial" w:cs="Arial"/>
          <w:sz w:val="24"/>
          <w:szCs w:val="24"/>
          <w:lang w:val="es-VE"/>
        </w:rPr>
        <w:t>Fondos insuficientes: Se necesitan 4 billones de USD anuales para</w:t>
      </w:r>
      <w:r w:rsidRPr="006A1884">
        <w:rPr>
          <w:rFonts w:ascii="Arial" w:hAnsi="Arial" w:cs="Arial"/>
          <w:sz w:val="24"/>
          <w:szCs w:val="24"/>
          <w:lang w:val="es-VE"/>
        </w:rPr>
        <w:t xml:space="preserve"> energías limpias, pero solo el 20% llega a naciones pobres. La COP29 (2024) aprobó un fondo de 300.000 millones anuales, pero cubre menos del 10% de las necesidades estimadas.</w:t>
      </w:r>
    </w:p>
    <w:p w:rsidR="00AA6577" w:rsidRPr="006A1884" w:rsidRDefault="00F43E06" w:rsidP="00683A6B">
      <w:pPr>
        <w:pStyle w:val="Prrafodelista"/>
        <w:numPr>
          <w:ilvl w:val="0"/>
          <w:numId w:val="2"/>
        </w:numPr>
        <w:jc w:val="both"/>
        <w:rPr>
          <w:rFonts w:ascii="Arial" w:hAnsi="Arial" w:cs="Arial"/>
          <w:sz w:val="24"/>
          <w:szCs w:val="24"/>
          <w:lang w:val="es-VE"/>
        </w:rPr>
      </w:pPr>
      <w:r w:rsidRPr="006A1884">
        <w:rPr>
          <w:rFonts w:ascii="Arial" w:hAnsi="Arial" w:cs="Arial"/>
          <w:sz w:val="24"/>
          <w:szCs w:val="24"/>
          <w:lang w:val="es-VE"/>
        </w:rPr>
        <w:t>Mecanismos innovadores: Los "bonos verdes" en Brasil o los impuestos al carbono</w:t>
      </w:r>
      <w:r w:rsidRPr="006A1884">
        <w:rPr>
          <w:rFonts w:ascii="Arial" w:hAnsi="Arial" w:cs="Arial"/>
          <w:sz w:val="24"/>
          <w:szCs w:val="24"/>
          <w:lang w:val="es-VE"/>
        </w:rPr>
        <w:t xml:space="preserve"> en Sudáfrica están dirigiendo capital privado hacia infraestructura sostenible.  </w:t>
      </w:r>
    </w:p>
    <w:p w:rsidR="00AA6577" w:rsidRPr="006A1884" w:rsidRDefault="00F43E06" w:rsidP="00683A6B">
      <w:pPr>
        <w:jc w:val="both"/>
        <w:rPr>
          <w:rFonts w:ascii="Arial" w:hAnsi="Arial" w:cs="Arial"/>
          <w:sz w:val="24"/>
          <w:szCs w:val="24"/>
          <w:lang w:val="es-VE"/>
        </w:rPr>
      </w:pPr>
      <w:r w:rsidRPr="006A1884">
        <w:rPr>
          <w:rFonts w:ascii="Arial" w:hAnsi="Arial" w:cs="Arial"/>
          <w:sz w:val="24"/>
          <w:szCs w:val="24"/>
          <w:lang w:val="es-VE"/>
        </w:rPr>
        <w:t>La transición energética solo será sostenible si prioriza la justicia social. Esto implica democratizar el acceso a tecnologías limpias, proteger derechos comunitarios y red</w:t>
      </w:r>
      <w:r w:rsidRPr="006A1884">
        <w:rPr>
          <w:rFonts w:ascii="Arial" w:hAnsi="Arial" w:cs="Arial"/>
          <w:sz w:val="24"/>
          <w:szCs w:val="24"/>
          <w:lang w:val="es-VE"/>
        </w:rPr>
        <w:t xml:space="preserve">istribuir los beneficios económicos. Como señala el PNUD, "sin equidad, la </w:t>
      </w:r>
      <w:proofErr w:type="spellStart"/>
      <w:r w:rsidRPr="006A1884">
        <w:rPr>
          <w:rFonts w:ascii="Arial" w:hAnsi="Arial" w:cs="Arial"/>
          <w:sz w:val="24"/>
          <w:szCs w:val="24"/>
          <w:lang w:val="es-VE"/>
        </w:rPr>
        <w:t>descarbonización</w:t>
      </w:r>
      <w:proofErr w:type="spellEnd"/>
      <w:r w:rsidRPr="006A1884">
        <w:rPr>
          <w:rFonts w:ascii="Arial" w:hAnsi="Arial" w:cs="Arial"/>
          <w:sz w:val="24"/>
          <w:szCs w:val="24"/>
          <w:lang w:val="es-VE"/>
        </w:rPr>
        <w:t xml:space="preserve"> </w:t>
      </w:r>
      <w:r w:rsidR="006A1884">
        <w:rPr>
          <w:rFonts w:ascii="Arial" w:hAnsi="Arial" w:cs="Arial"/>
          <w:sz w:val="24"/>
          <w:szCs w:val="24"/>
          <w:lang w:val="es-VE"/>
        </w:rPr>
        <w:t>profundizará las desigualdades"</w:t>
      </w:r>
      <w:r w:rsidRPr="006A1884">
        <w:rPr>
          <w:rFonts w:ascii="Arial" w:hAnsi="Arial" w:cs="Arial"/>
          <w:sz w:val="24"/>
          <w:szCs w:val="24"/>
          <w:lang w:val="es-VE"/>
        </w:rPr>
        <w:t>. Urgen alianzas globales que combinen innovación tecnológica con políticas de inclusión, asegurando que el futuro energético no rep</w:t>
      </w:r>
      <w:r w:rsidRPr="006A1884">
        <w:rPr>
          <w:rFonts w:ascii="Arial" w:hAnsi="Arial" w:cs="Arial"/>
          <w:sz w:val="24"/>
          <w:szCs w:val="24"/>
          <w:lang w:val="es-VE"/>
        </w:rPr>
        <w:t xml:space="preserve">ita los errores del pasado.  </w:t>
      </w:r>
    </w:p>
    <w:p w:rsidR="00AA6577" w:rsidRPr="006A1884" w:rsidRDefault="00F43E06" w:rsidP="00683A6B">
      <w:pPr>
        <w:jc w:val="both"/>
        <w:rPr>
          <w:rFonts w:ascii="Arial" w:hAnsi="Arial" w:cs="Arial"/>
          <w:b/>
          <w:bCs/>
          <w:sz w:val="24"/>
          <w:szCs w:val="24"/>
          <w:lang w:val="es-VE"/>
        </w:rPr>
      </w:pPr>
      <w:r w:rsidRPr="006A1884">
        <w:rPr>
          <w:rFonts w:ascii="Arial" w:hAnsi="Arial" w:cs="Arial"/>
          <w:b/>
          <w:bCs/>
          <w:sz w:val="24"/>
          <w:szCs w:val="24"/>
          <w:lang w:val="es-VE"/>
        </w:rPr>
        <w:t>4. Políticas y gobernanza global: Mecanismos para acelerar una transición justa</w:t>
      </w:r>
    </w:p>
    <w:p w:rsidR="00AA6577" w:rsidRPr="006A1884" w:rsidRDefault="00F43E06" w:rsidP="00683A6B">
      <w:pPr>
        <w:jc w:val="both"/>
        <w:rPr>
          <w:rFonts w:ascii="Arial" w:hAnsi="Arial" w:cs="Arial"/>
          <w:sz w:val="24"/>
          <w:szCs w:val="24"/>
          <w:lang w:val="es-VE"/>
        </w:rPr>
      </w:pPr>
      <w:r w:rsidRPr="006A1884">
        <w:rPr>
          <w:rFonts w:ascii="Arial" w:hAnsi="Arial" w:cs="Arial"/>
          <w:sz w:val="24"/>
          <w:szCs w:val="24"/>
          <w:lang w:val="es-VE"/>
        </w:rPr>
        <w:t>La efectividad de la transición energética depende fundamentalmente de marcos regulatorios sólidos y mecanismos de cooperación internacional que p</w:t>
      </w:r>
      <w:r w:rsidRPr="006A1884">
        <w:rPr>
          <w:rFonts w:ascii="Arial" w:hAnsi="Arial" w:cs="Arial"/>
          <w:sz w:val="24"/>
          <w:szCs w:val="24"/>
          <w:lang w:val="es-VE"/>
        </w:rPr>
        <w:t>ermitan armonizar objetivos ambientales, económicos y sociales, en este marco se aprecian avances legislativos destacados.</w:t>
      </w:r>
    </w:p>
    <w:p w:rsidR="00AA6577" w:rsidRPr="006A1884" w:rsidRDefault="00F43E06" w:rsidP="00683A6B">
      <w:pPr>
        <w:jc w:val="both"/>
        <w:rPr>
          <w:rFonts w:ascii="Arial" w:hAnsi="Arial" w:cs="Arial"/>
          <w:sz w:val="24"/>
          <w:szCs w:val="24"/>
          <w:lang w:val="es-VE"/>
        </w:rPr>
      </w:pPr>
      <w:r w:rsidRPr="006A1884">
        <w:rPr>
          <w:rFonts w:ascii="Arial" w:hAnsi="Arial" w:cs="Arial"/>
          <w:sz w:val="24"/>
          <w:szCs w:val="24"/>
          <w:lang w:val="es-VE"/>
        </w:rPr>
        <w:t xml:space="preserve">La Unión Europea implementa el Green </w:t>
      </w:r>
      <w:proofErr w:type="spellStart"/>
      <w:r w:rsidRPr="006A1884">
        <w:rPr>
          <w:rFonts w:ascii="Arial" w:hAnsi="Arial" w:cs="Arial"/>
          <w:sz w:val="24"/>
          <w:szCs w:val="24"/>
          <w:lang w:val="es-VE"/>
        </w:rPr>
        <w:t>Deal</w:t>
      </w:r>
      <w:proofErr w:type="spellEnd"/>
      <w:r w:rsidRPr="006A1884">
        <w:rPr>
          <w:rFonts w:ascii="Arial" w:hAnsi="Arial" w:cs="Arial"/>
          <w:sz w:val="24"/>
          <w:szCs w:val="24"/>
          <w:lang w:val="es-VE"/>
        </w:rPr>
        <w:t xml:space="preserve"> Industrial Plan (2023) donde establece metas vinculantes:</w:t>
      </w:r>
    </w:p>
    <w:p w:rsidR="00AA6577" w:rsidRPr="006A1884" w:rsidRDefault="00F43E06" w:rsidP="00683A6B">
      <w:pPr>
        <w:pStyle w:val="Prrafodelista"/>
        <w:numPr>
          <w:ilvl w:val="0"/>
          <w:numId w:val="3"/>
        </w:numPr>
        <w:jc w:val="both"/>
        <w:rPr>
          <w:rFonts w:ascii="Arial" w:hAnsi="Arial" w:cs="Arial"/>
          <w:sz w:val="24"/>
          <w:szCs w:val="24"/>
          <w:lang w:val="es-VE"/>
        </w:rPr>
      </w:pPr>
      <w:r w:rsidRPr="006A1884">
        <w:rPr>
          <w:rFonts w:ascii="Arial" w:hAnsi="Arial" w:cs="Arial"/>
          <w:sz w:val="24"/>
          <w:szCs w:val="24"/>
          <w:lang w:val="es-VE"/>
        </w:rPr>
        <w:t>45% de energía renovable para 203</w:t>
      </w:r>
      <w:r w:rsidRPr="006A1884">
        <w:rPr>
          <w:rFonts w:ascii="Arial" w:hAnsi="Arial" w:cs="Arial"/>
          <w:sz w:val="24"/>
          <w:szCs w:val="24"/>
          <w:lang w:val="es-VE"/>
        </w:rPr>
        <w:t>0</w:t>
      </w:r>
    </w:p>
    <w:p w:rsidR="00AA6577" w:rsidRPr="006A1884" w:rsidRDefault="00F43E06" w:rsidP="00683A6B">
      <w:pPr>
        <w:pStyle w:val="Prrafodelista"/>
        <w:numPr>
          <w:ilvl w:val="0"/>
          <w:numId w:val="3"/>
        </w:numPr>
        <w:jc w:val="both"/>
        <w:rPr>
          <w:rFonts w:ascii="Arial" w:hAnsi="Arial" w:cs="Arial"/>
          <w:sz w:val="24"/>
          <w:szCs w:val="24"/>
          <w:lang w:val="es-VE"/>
        </w:rPr>
      </w:pPr>
      <w:r w:rsidRPr="006A1884">
        <w:rPr>
          <w:rFonts w:ascii="Arial" w:hAnsi="Arial" w:cs="Arial"/>
          <w:sz w:val="24"/>
          <w:szCs w:val="24"/>
          <w:lang w:val="es-VE"/>
        </w:rPr>
        <w:t>Prohibición de venta de vehículos de combustión para 2035</w:t>
      </w:r>
    </w:p>
    <w:p w:rsidR="00AA6577" w:rsidRPr="006A1884" w:rsidRDefault="00F43E06" w:rsidP="00683A6B">
      <w:pPr>
        <w:pStyle w:val="Prrafodelista"/>
        <w:numPr>
          <w:ilvl w:val="0"/>
          <w:numId w:val="3"/>
        </w:numPr>
        <w:jc w:val="both"/>
        <w:rPr>
          <w:rFonts w:ascii="Arial" w:hAnsi="Arial" w:cs="Arial"/>
          <w:sz w:val="24"/>
          <w:szCs w:val="24"/>
          <w:lang w:val="es-VE"/>
        </w:rPr>
      </w:pPr>
      <w:r w:rsidRPr="006A1884">
        <w:rPr>
          <w:rFonts w:ascii="Arial" w:hAnsi="Arial" w:cs="Arial"/>
          <w:sz w:val="24"/>
          <w:szCs w:val="24"/>
          <w:lang w:val="es-VE"/>
        </w:rPr>
        <w:t>160.000 millones de euros en inversiones verdes</w:t>
      </w:r>
    </w:p>
    <w:p w:rsidR="00AA6577" w:rsidRPr="006A1884" w:rsidRDefault="00F43E06" w:rsidP="00683A6B">
      <w:pPr>
        <w:jc w:val="both"/>
        <w:rPr>
          <w:rFonts w:ascii="Arial" w:hAnsi="Arial" w:cs="Arial"/>
          <w:sz w:val="24"/>
          <w:szCs w:val="24"/>
          <w:lang w:val="es-VE"/>
        </w:rPr>
      </w:pPr>
      <w:r w:rsidRPr="006A1884">
        <w:rPr>
          <w:rFonts w:ascii="Arial" w:hAnsi="Arial" w:cs="Arial"/>
          <w:sz w:val="24"/>
          <w:szCs w:val="24"/>
          <w:lang w:val="es-VE"/>
        </w:rPr>
        <w:t xml:space="preserve">Por su parte en América Latina encontramos a Chile q implementa la Ley Marco de Cambio Climático (2022) con meta de carbono neutralidad para 2050 y </w:t>
      </w:r>
      <w:r w:rsidRPr="006A1884">
        <w:rPr>
          <w:rFonts w:ascii="Arial" w:hAnsi="Arial" w:cs="Arial"/>
          <w:sz w:val="24"/>
          <w:szCs w:val="24"/>
          <w:lang w:val="es-VE"/>
        </w:rPr>
        <w:t>Colombia con el Plan Nacional de Transición Energética con énfasis en comunidades vulnerables.</w:t>
      </w:r>
    </w:p>
    <w:p w:rsidR="00AA6577" w:rsidRPr="006A1884" w:rsidRDefault="00F43E06" w:rsidP="00683A6B">
      <w:pPr>
        <w:jc w:val="both"/>
        <w:rPr>
          <w:rFonts w:ascii="Arial" w:hAnsi="Arial" w:cs="Arial"/>
          <w:sz w:val="24"/>
          <w:szCs w:val="24"/>
          <w:lang w:val="es-VE"/>
        </w:rPr>
      </w:pPr>
      <w:r w:rsidRPr="006A1884">
        <w:rPr>
          <w:rFonts w:ascii="Arial" w:hAnsi="Arial" w:cs="Arial"/>
          <w:sz w:val="24"/>
          <w:szCs w:val="24"/>
          <w:lang w:val="es-VE"/>
        </w:rPr>
        <w:t>A pesar que se aplican estos mecanismos para acelerar la transición, persisten contradicciones como el doble discurso energético donde países como Alemania react</w:t>
      </w:r>
      <w:r w:rsidRPr="006A1884">
        <w:rPr>
          <w:rFonts w:ascii="Arial" w:hAnsi="Arial" w:cs="Arial"/>
          <w:sz w:val="24"/>
          <w:szCs w:val="24"/>
          <w:lang w:val="es-VE"/>
        </w:rPr>
        <w:t>ivaron plantas de carbón durante la crisis energética 2022-2023; y según la OCDE los subsidios fósiles alcanzaron 1.4 billones USD en países del G20 durante 2024.</w:t>
      </w:r>
    </w:p>
    <w:p w:rsidR="00AA6577" w:rsidRPr="006A1884" w:rsidRDefault="00F43E06" w:rsidP="00683A6B">
      <w:pPr>
        <w:jc w:val="both"/>
        <w:rPr>
          <w:rFonts w:ascii="Arial" w:hAnsi="Arial" w:cs="Arial"/>
          <w:sz w:val="24"/>
          <w:szCs w:val="24"/>
          <w:lang w:val="es-VE"/>
        </w:rPr>
      </w:pPr>
      <w:r w:rsidRPr="006A1884">
        <w:rPr>
          <w:rFonts w:ascii="Arial" w:hAnsi="Arial" w:cs="Arial"/>
          <w:sz w:val="24"/>
          <w:szCs w:val="24"/>
          <w:lang w:val="es-VE"/>
        </w:rPr>
        <w:lastRenderedPageBreak/>
        <w:t xml:space="preserve">También se sigue implementando mecanismos de cooperación internacional como la COP28 (Dubái </w:t>
      </w:r>
      <w:r w:rsidRPr="006A1884">
        <w:rPr>
          <w:rFonts w:ascii="Arial" w:hAnsi="Arial" w:cs="Arial"/>
          <w:sz w:val="24"/>
          <w:szCs w:val="24"/>
          <w:lang w:val="es-VE"/>
        </w:rPr>
        <w:t>2023) donde se tomaron acuerdos históricos para triplicar capacidad renovable global para 2030, duplicar eficiencia energética y eliminar gradualmente subsidios a combustibles fósiles. Estos acuerdos a su vez sufren desafíos en la implementación ya que pre</w:t>
      </w:r>
      <w:r w:rsidRPr="006A1884">
        <w:rPr>
          <w:rFonts w:ascii="Arial" w:hAnsi="Arial" w:cs="Arial"/>
          <w:sz w:val="24"/>
          <w:szCs w:val="24"/>
          <w:lang w:val="es-VE"/>
        </w:rPr>
        <w:t xml:space="preserve">sentan falta de vinculación legal, donde solo el 40% de los compromisos de la COP28 son jurídicamente vinculantes; y </w:t>
      </w:r>
      <w:proofErr w:type="gramStart"/>
      <w:r w:rsidRPr="006A1884">
        <w:rPr>
          <w:rFonts w:ascii="Arial" w:hAnsi="Arial" w:cs="Arial"/>
          <w:sz w:val="24"/>
          <w:szCs w:val="24"/>
          <w:lang w:val="es-VE"/>
        </w:rPr>
        <w:t>la</w:t>
      </w:r>
      <w:proofErr w:type="gramEnd"/>
      <w:r w:rsidRPr="006A1884">
        <w:rPr>
          <w:rFonts w:ascii="Arial" w:hAnsi="Arial" w:cs="Arial"/>
          <w:sz w:val="24"/>
          <w:szCs w:val="24"/>
          <w:lang w:val="es-VE"/>
        </w:rPr>
        <w:t xml:space="preserve"> asimetrías Norte-Sur donde el 80% de las inversiones en energías limpias se concentran en economías avanzadas.</w:t>
      </w:r>
    </w:p>
    <w:p w:rsidR="00AA6577" w:rsidRPr="006A1884" w:rsidRDefault="006A1884" w:rsidP="00683A6B">
      <w:pPr>
        <w:jc w:val="both"/>
        <w:rPr>
          <w:rFonts w:ascii="Arial" w:hAnsi="Arial" w:cs="Arial"/>
          <w:sz w:val="24"/>
          <w:szCs w:val="24"/>
          <w:lang w:val="es-VE"/>
        </w:rPr>
      </w:pPr>
      <w:r w:rsidRPr="006A1884">
        <w:rPr>
          <w:rFonts w:ascii="Arial" w:hAnsi="Arial" w:cs="Arial"/>
          <w:sz w:val="24"/>
          <w:szCs w:val="24"/>
          <w:lang w:val="es-VE"/>
        </w:rPr>
        <w:t>Aun</w:t>
      </w:r>
      <w:r w:rsidR="00F43E06" w:rsidRPr="006A1884">
        <w:rPr>
          <w:rFonts w:ascii="Arial" w:hAnsi="Arial" w:cs="Arial"/>
          <w:sz w:val="24"/>
          <w:szCs w:val="24"/>
          <w:lang w:val="es-VE"/>
        </w:rPr>
        <w:t xml:space="preserve"> así los países implem</w:t>
      </w:r>
      <w:r w:rsidR="00F43E06" w:rsidRPr="006A1884">
        <w:rPr>
          <w:rFonts w:ascii="Arial" w:hAnsi="Arial" w:cs="Arial"/>
          <w:sz w:val="24"/>
          <w:szCs w:val="24"/>
          <w:lang w:val="es-VE"/>
        </w:rPr>
        <w:t>entan instrumentos financieros innovadores y mecanismos en desarrollo como los bonos verdes soberanos en Chile donde emitió 2.200 millones USD en 2022 para financiar proyectos renovables. Otro ejemplo es Belice donde realizó</w:t>
      </w:r>
      <w:r w:rsidR="00F43E06" w:rsidRPr="006A1884">
        <w:rPr>
          <w:rFonts w:ascii="Arial" w:hAnsi="Arial" w:cs="Arial"/>
          <w:sz w:val="24"/>
          <w:szCs w:val="24"/>
          <w:lang w:val="es-VE"/>
        </w:rPr>
        <w:t xml:space="preserve"> </w:t>
      </w:r>
      <w:r>
        <w:rPr>
          <w:rFonts w:ascii="Arial" w:hAnsi="Arial" w:cs="Arial"/>
          <w:sz w:val="24"/>
          <w:szCs w:val="24"/>
          <w:lang w:val="es-VE"/>
        </w:rPr>
        <w:t xml:space="preserve">el </w:t>
      </w:r>
      <w:r w:rsidRPr="006A1884">
        <w:rPr>
          <w:rFonts w:ascii="Arial" w:hAnsi="Arial" w:cs="Arial"/>
          <w:sz w:val="24"/>
          <w:szCs w:val="24"/>
          <w:lang w:val="es-VE"/>
        </w:rPr>
        <w:t>canje</w:t>
      </w:r>
      <w:r w:rsidR="00F43E06" w:rsidRPr="006A1884">
        <w:rPr>
          <w:rFonts w:ascii="Arial" w:hAnsi="Arial" w:cs="Arial"/>
          <w:sz w:val="24"/>
          <w:szCs w:val="24"/>
          <w:lang w:val="es-VE"/>
        </w:rPr>
        <w:t xml:space="preserve"> de deuda por clima, d</w:t>
      </w:r>
      <w:r w:rsidR="00F43E06" w:rsidRPr="006A1884">
        <w:rPr>
          <w:rFonts w:ascii="Arial" w:hAnsi="Arial" w:cs="Arial"/>
          <w:sz w:val="24"/>
          <w:szCs w:val="24"/>
          <w:lang w:val="es-VE"/>
        </w:rPr>
        <w:t>onde redujo deuda a cambio de protección marina</w:t>
      </w:r>
    </w:p>
    <w:p w:rsidR="00AA6577" w:rsidRPr="006A1884" w:rsidRDefault="00F43E06" w:rsidP="00683A6B">
      <w:pPr>
        <w:jc w:val="both"/>
        <w:rPr>
          <w:rFonts w:ascii="Arial" w:hAnsi="Arial" w:cs="Arial"/>
          <w:sz w:val="24"/>
          <w:szCs w:val="24"/>
          <w:lang w:val="es-VE"/>
        </w:rPr>
      </w:pPr>
      <w:r w:rsidRPr="006A1884">
        <w:rPr>
          <w:rFonts w:ascii="Arial" w:hAnsi="Arial" w:cs="Arial"/>
          <w:sz w:val="24"/>
          <w:szCs w:val="24"/>
          <w:lang w:val="es-VE"/>
        </w:rPr>
        <w:t>Estos instrumentos financieros y mecanismos de desarrollo también presentan barreras como el acceso al financiamiento, donde países africanos pagan hasta 8 veces más que europeos por préstamos verdes</w:t>
      </w:r>
    </w:p>
    <w:p w:rsidR="00AA6577" w:rsidRPr="006A1884" w:rsidRDefault="00F43E06" w:rsidP="00683A6B">
      <w:pPr>
        <w:jc w:val="both"/>
        <w:rPr>
          <w:rFonts w:ascii="Arial" w:hAnsi="Arial" w:cs="Arial"/>
          <w:sz w:val="24"/>
          <w:szCs w:val="24"/>
          <w:lang w:val="es-VE"/>
        </w:rPr>
      </w:pPr>
      <w:r w:rsidRPr="006A1884">
        <w:rPr>
          <w:rFonts w:ascii="Arial" w:hAnsi="Arial" w:cs="Arial"/>
          <w:sz w:val="24"/>
          <w:szCs w:val="24"/>
          <w:lang w:val="es-VE"/>
        </w:rPr>
        <w:t>En el ma</w:t>
      </w:r>
      <w:r w:rsidRPr="006A1884">
        <w:rPr>
          <w:rFonts w:ascii="Arial" w:hAnsi="Arial" w:cs="Arial"/>
          <w:sz w:val="24"/>
          <w:szCs w:val="24"/>
          <w:lang w:val="es-VE"/>
        </w:rPr>
        <w:t>rco de la gobernanza corporativa, la sociedad civil y la participación ciudadana juegan un gran rol. Como ejemplos de casos destacados podemos citar los litigios climáticos.  En 2024, existían 2.000 casos activos en 65 países, incluyendo la histórica victo</w:t>
      </w:r>
      <w:r w:rsidRPr="006A1884">
        <w:rPr>
          <w:rFonts w:ascii="Arial" w:hAnsi="Arial" w:cs="Arial"/>
          <w:sz w:val="24"/>
          <w:szCs w:val="24"/>
          <w:lang w:val="es-VE"/>
        </w:rPr>
        <w:t>ria contra Shell en Países Bajos donde en el 2021 un tribunal la obligara a reducir en un 45% las emisiones de CO2 y el a</w:t>
      </w:r>
      <w:r w:rsidRPr="006A1884">
        <w:rPr>
          <w:rFonts w:ascii="Arial" w:hAnsi="Arial" w:cs="Arial"/>
          <w:sz w:val="24"/>
          <w:szCs w:val="24"/>
          <w:lang w:val="es-VE"/>
        </w:rPr>
        <w:t>ñ</w:t>
      </w:r>
      <w:r w:rsidRPr="006A1884">
        <w:rPr>
          <w:rFonts w:ascii="Arial" w:hAnsi="Arial" w:cs="Arial"/>
          <w:sz w:val="24"/>
          <w:szCs w:val="24"/>
          <w:lang w:val="es-VE"/>
        </w:rPr>
        <w:t>o pasado fuera anulada está decisión por un tribunal de La Haya. Los movimientos locales hacen valer su papel en comunidades, en Méxic</w:t>
      </w:r>
      <w:r w:rsidRPr="006A1884">
        <w:rPr>
          <w:rFonts w:ascii="Arial" w:hAnsi="Arial" w:cs="Arial"/>
          <w:sz w:val="24"/>
          <w:szCs w:val="24"/>
          <w:lang w:val="es-VE"/>
        </w:rPr>
        <w:t xml:space="preserve">o y Sudáfrica han logrado detener proyectos mineros y energéticos por falta de consulta; de igual manera países como Francia y Reino Unido </w:t>
      </w:r>
      <w:r w:rsidRPr="006A1884">
        <w:rPr>
          <w:rFonts w:ascii="Arial" w:hAnsi="Arial" w:cs="Arial"/>
          <w:sz w:val="24"/>
          <w:szCs w:val="24"/>
          <w:lang w:val="es-VE"/>
        </w:rPr>
        <w:t>han incluido a ciudadanos en el diseño de políticas energéticas como parte de m</w:t>
      </w:r>
      <w:r w:rsidRPr="006A1884">
        <w:rPr>
          <w:rFonts w:ascii="Arial" w:hAnsi="Arial" w:cs="Arial"/>
          <w:sz w:val="24"/>
          <w:szCs w:val="24"/>
          <w:lang w:val="es-VE"/>
        </w:rPr>
        <w:t>ecanismos de participación.</w:t>
      </w:r>
    </w:p>
    <w:p w:rsidR="00AA6577" w:rsidRPr="006A1884" w:rsidRDefault="00F43E06" w:rsidP="00683A6B">
      <w:pPr>
        <w:jc w:val="both"/>
        <w:rPr>
          <w:rFonts w:ascii="Arial" w:hAnsi="Arial" w:cs="Arial"/>
          <w:sz w:val="24"/>
          <w:szCs w:val="24"/>
          <w:lang w:val="es-VE"/>
        </w:rPr>
      </w:pPr>
      <w:r w:rsidRPr="006A1884">
        <w:rPr>
          <w:rFonts w:ascii="Arial" w:hAnsi="Arial" w:cs="Arial"/>
          <w:sz w:val="24"/>
          <w:szCs w:val="24"/>
          <w:lang w:val="es-VE"/>
        </w:rPr>
        <w:t>La arquite</w:t>
      </w:r>
      <w:r w:rsidRPr="006A1884">
        <w:rPr>
          <w:rFonts w:ascii="Arial" w:hAnsi="Arial" w:cs="Arial"/>
          <w:sz w:val="24"/>
          <w:szCs w:val="24"/>
          <w:lang w:val="es-VE"/>
        </w:rPr>
        <w:t>ctura de gobernanza para la transición energética está en construcción, combinando regulaciones nacionales ambiciosas con frágiles acuerdos internacionales. Mientras emergen innovaciones financieras y mecanismos de participación, persisten profundas asimet</w:t>
      </w:r>
      <w:r w:rsidRPr="006A1884">
        <w:rPr>
          <w:rFonts w:ascii="Arial" w:hAnsi="Arial" w:cs="Arial"/>
          <w:sz w:val="24"/>
          <w:szCs w:val="24"/>
          <w:lang w:val="es-VE"/>
        </w:rPr>
        <w:t xml:space="preserve">rías entre países y sectores. El éxito dependerá de fortalecer los sistemas de rendición de cuentas, garantizar flujos financieros equitativos y crear instituciones capaces de gestionar los conflictos inherentes a esta transformación sin precedentes. Como </w:t>
      </w:r>
      <w:r w:rsidRPr="006A1884">
        <w:rPr>
          <w:rFonts w:ascii="Arial" w:hAnsi="Arial" w:cs="Arial"/>
          <w:sz w:val="24"/>
          <w:szCs w:val="24"/>
          <w:lang w:val="es-VE"/>
        </w:rPr>
        <w:t>muestra la experiencia reciente, ni los mercados por sí solos ni los Estados aislados pueden lograr una transición justa: se requiere una acción colectiva renovada y mecanismos de gobernanza más inclusivos.</w:t>
      </w:r>
    </w:p>
    <w:p w:rsidR="00AA6577" w:rsidRPr="006A1884" w:rsidRDefault="00F43E06" w:rsidP="00683A6B">
      <w:pPr>
        <w:jc w:val="both"/>
        <w:rPr>
          <w:rFonts w:ascii="Arial" w:hAnsi="Arial" w:cs="Arial"/>
          <w:b/>
          <w:bCs/>
          <w:sz w:val="24"/>
          <w:szCs w:val="24"/>
          <w:lang w:val="es-VE"/>
        </w:rPr>
      </w:pPr>
      <w:r w:rsidRPr="006A1884">
        <w:rPr>
          <w:rFonts w:ascii="Arial" w:hAnsi="Arial" w:cs="Arial"/>
          <w:b/>
          <w:bCs/>
          <w:sz w:val="24"/>
          <w:szCs w:val="24"/>
          <w:lang w:val="es-VE"/>
        </w:rPr>
        <w:t xml:space="preserve">Conclusión </w:t>
      </w:r>
    </w:p>
    <w:p w:rsidR="00AA6577" w:rsidRPr="006A1884" w:rsidRDefault="00F43E06" w:rsidP="00683A6B">
      <w:pPr>
        <w:jc w:val="both"/>
        <w:rPr>
          <w:rFonts w:ascii="Arial" w:hAnsi="Arial" w:cs="Arial"/>
          <w:sz w:val="24"/>
          <w:szCs w:val="24"/>
          <w:lang w:val="es-VE"/>
        </w:rPr>
      </w:pPr>
      <w:r w:rsidRPr="006A1884">
        <w:rPr>
          <w:rFonts w:ascii="Arial" w:hAnsi="Arial" w:cs="Arial"/>
          <w:sz w:val="24"/>
          <w:szCs w:val="24"/>
          <w:lang w:val="es-VE"/>
        </w:rPr>
        <w:t>La transición energética es un proces</w:t>
      </w:r>
      <w:r w:rsidRPr="006A1884">
        <w:rPr>
          <w:rFonts w:ascii="Arial" w:hAnsi="Arial" w:cs="Arial"/>
          <w:sz w:val="24"/>
          <w:szCs w:val="24"/>
          <w:lang w:val="es-VE"/>
        </w:rPr>
        <w:t xml:space="preserve">o irreversible pero desigual, que requiere equilibrar innovación tecnológica, justicia social y gobernanza global. Los minerales </w:t>
      </w:r>
      <w:r w:rsidRPr="006A1884">
        <w:rPr>
          <w:rFonts w:ascii="Arial" w:hAnsi="Arial" w:cs="Arial"/>
          <w:sz w:val="24"/>
          <w:szCs w:val="24"/>
          <w:lang w:val="es-VE"/>
        </w:rPr>
        <w:lastRenderedPageBreak/>
        <w:t xml:space="preserve">estratégicos son una pieza clave, pero su explotación debe evitar replicar modelos </w:t>
      </w:r>
      <w:r w:rsidR="006A1884" w:rsidRPr="006A1884">
        <w:rPr>
          <w:rFonts w:ascii="Arial" w:hAnsi="Arial" w:cs="Arial"/>
          <w:sz w:val="24"/>
          <w:szCs w:val="24"/>
          <w:lang w:val="es-VE"/>
        </w:rPr>
        <w:t>extractivitas</w:t>
      </w:r>
      <w:r w:rsidRPr="006A1884">
        <w:rPr>
          <w:rFonts w:ascii="Arial" w:hAnsi="Arial" w:cs="Arial"/>
          <w:sz w:val="24"/>
          <w:szCs w:val="24"/>
          <w:lang w:val="es-VE"/>
        </w:rPr>
        <w:t xml:space="preserve"> del pasado. Para lograr un de</w:t>
      </w:r>
      <w:r w:rsidRPr="006A1884">
        <w:rPr>
          <w:rFonts w:ascii="Arial" w:hAnsi="Arial" w:cs="Arial"/>
          <w:sz w:val="24"/>
          <w:szCs w:val="24"/>
          <w:lang w:val="es-VE"/>
        </w:rPr>
        <w:t xml:space="preserve">sarrollo sostenible, es esencial fortalecer la cooperación internacional, garantizar financiamiento climático y priorizar el acceso universal a energías limpias.  </w:t>
      </w:r>
    </w:p>
    <w:p w:rsidR="00AA6577" w:rsidRPr="006A1884" w:rsidRDefault="00F43E06" w:rsidP="00683A6B">
      <w:pPr>
        <w:jc w:val="both"/>
        <w:rPr>
          <w:rFonts w:ascii="Arial" w:hAnsi="Arial" w:cs="Arial"/>
          <w:sz w:val="24"/>
          <w:szCs w:val="24"/>
          <w:lang w:val="es-VE"/>
        </w:rPr>
      </w:pPr>
      <w:r w:rsidRPr="006A1884">
        <w:rPr>
          <w:rFonts w:ascii="Arial" w:hAnsi="Arial" w:cs="Arial"/>
          <w:sz w:val="24"/>
          <w:szCs w:val="24"/>
          <w:lang w:val="es-VE"/>
        </w:rPr>
        <w:t xml:space="preserve">El desafío pendiente sigue siendo escalar estas buenas prácticas y garantizar su adaptación </w:t>
      </w:r>
      <w:r w:rsidRPr="006A1884">
        <w:rPr>
          <w:rFonts w:ascii="Arial" w:hAnsi="Arial" w:cs="Arial"/>
          <w:sz w:val="24"/>
          <w:szCs w:val="24"/>
          <w:lang w:val="es-VE"/>
        </w:rPr>
        <w:t>a contextos diversos, particularmente en economías en desarrollo donde las capacidades institucionales son más limitadas.</w:t>
      </w:r>
    </w:p>
    <w:p w:rsidR="00AA6577" w:rsidRPr="006A1884" w:rsidRDefault="00F43E06" w:rsidP="00683A6B">
      <w:pPr>
        <w:jc w:val="both"/>
        <w:rPr>
          <w:rFonts w:ascii="Arial" w:hAnsi="Arial" w:cs="Arial"/>
          <w:sz w:val="24"/>
          <w:szCs w:val="24"/>
          <w:lang w:val="es-VE"/>
        </w:rPr>
      </w:pPr>
      <w:r w:rsidRPr="006A1884">
        <w:rPr>
          <w:rFonts w:ascii="Arial" w:hAnsi="Arial" w:cs="Arial"/>
          <w:sz w:val="24"/>
          <w:szCs w:val="24"/>
          <w:lang w:val="es-VE"/>
        </w:rPr>
        <w:t>Como señaló la COP28, estamos en "el principio del fin de la era fósil", pero el camino que tome este declive determinará si construim</w:t>
      </w:r>
      <w:r w:rsidRPr="006A1884">
        <w:rPr>
          <w:rFonts w:ascii="Arial" w:hAnsi="Arial" w:cs="Arial"/>
          <w:sz w:val="24"/>
          <w:szCs w:val="24"/>
          <w:lang w:val="es-VE"/>
        </w:rPr>
        <w:t>os un mundo más equitativo o profundizamos las fracturas existentes. La elección es colectiva, urgente y, sobre todo, impostergable.</w:t>
      </w:r>
    </w:p>
    <w:p w:rsidR="00AA6577" w:rsidRPr="006A1884" w:rsidRDefault="00F43E06" w:rsidP="00683A6B">
      <w:pPr>
        <w:jc w:val="both"/>
        <w:rPr>
          <w:rFonts w:ascii="Arial" w:hAnsi="Arial" w:cs="Arial"/>
          <w:b/>
          <w:bCs/>
          <w:sz w:val="24"/>
          <w:szCs w:val="24"/>
          <w:lang w:val="es-VE"/>
        </w:rPr>
      </w:pPr>
      <w:r w:rsidRPr="006A1884">
        <w:rPr>
          <w:rFonts w:ascii="Arial" w:hAnsi="Arial" w:cs="Arial"/>
          <w:b/>
          <w:bCs/>
          <w:sz w:val="24"/>
          <w:szCs w:val="24"/>
          <w:lang w:val="es-VE"/>
        </w:rPr>
        <w:t>Bibliografía</w:t>
      </w:r>
    </w:p>
    <w:p w:rsidR="00AA6577" w:rsidRPr="006A1884" w:rsidRDefault="00F43E06" w:rsidP="00683A6B">
      <w:pPr>
        <w:pStyle w:val="Prrafodelista"/>
        <w:numPr>
          <w:ilvl w:val="0"/>
          <w:numId w:val="5"/>
        </w:numPr>
        <w:jc w:val="both"/>
        <w:rPr>
          <w:rFonts w:ascii="Arial" w:hAnsi="Arial" w:cs="Arial"/>
          <w:sz w:val="24"/>
          <w:szCs w:val="24"/>
          <w:lang w:val="es-VE"/>
        </w:rPr>
      </w:pPr>
      <w:r w:rsidRPr="006A1884">
        <w:rPr>
          <w:rFonts w:ascii="Arial" w:hAnsi="Arial" w:cs="Arial"/>
          <w:sz w:val="24"/>
          <w:szCs w:val="24"/>
          <w:lang w:val="es-VE"/>
        </w:rPr>
        <w:t xml:space="preserve">Agencia Internacional de Energía (AIE). (2024). </w:t>
      </w:r>
      <w:proofErr w:type="spellStart"/>
      <w:r w:rsidRPr="006A1884">
        <w:rPr>
          <w:rFonts w:ascii="Arial" w:hAnsi="Arial" w:cs="Arial"/>
          <w:sz w:val="24"/>
          <w:szCs w:val="24"/>
          <w:lang w:val="es-VE"/>
        </w:rPr>
        <w:t>World</w:t>
      </w:r>
      <w:proofErr w:type="spellEnd"/>
      <w:r w:rsidRPr="006A1884">
        <w:rPr>
          <w:rFonts w:ascii="Arial" w:hAnsi="Arial" w:cs="Arial"/>
          <w:sz w:val="24"/>
          <w:szCs w:val="24"/>
          <w:lang w:val="es-VE"/>
        </w:rPr>
        <w:t xml:space="preserve"> </w:t>
      </w:r>
      <w:proofErr w:type="spellStart"/>
      <w:r w:rsidRPr="006A1884">
        <w:rPr>
          <w:rFonts w:ascii="Arial" w:hAnsi="Arial" w:cs="Arial"/>
          <w:sz w:val="24"/>
          <w:szCs w:val="24"/>
          <w:lang w:val="es-VE"/>
        </w:rPr>
        <w:t>Energy</w:t>
      </w:r>
      <w:proofErr w:type="spellEnd"/>
      <w:r w:rsidRPr="006A1884">
        <w:rPr>
          <w:rFonts w:ascii="Arial" w:hAnsi="Arial" w:cs="Arial"/>
          <w:sz w:val="24"/>
          <w:szCs w:val="24"/>
          <w:lang w:val="es-VE"/>
        </w:rPr>
        <w:t xml:space="preserve"> Outlook 2024: </w:t>
      </w:r>
      <w:proofErr w:type="spellStart"/>
      <w:r w:rsidRPr="006A1884">
        <w:rPr>
          <w:rFonts w:ascii="Arial" w:hAnsi="Arial" w:cs="Arial"/>
          <w:sz w:val="24"/>
          <w:szCs w:val="24"/>
          <w:lang w:val="es-VE"/>
        </w:rPr>
        <w:t>Critical</w:t>
      </w:r>
      <w:proofErr w:type="spellEnd"/>
      <w:r w:rsidRPr="006A1884">
        <w:rPr>
          <w:rFonts w:ascii="Arial" w:hAnsi="Arial" w:cs="Arial"/>
          <w:sz w:val="24"/>
          <w:szCs w:val="24"/>
          <w:lang w:val="es-VE"/>
        </w:rPr>
        <w:t xml:space="preserve"> </w:t>
      </w:r>
      <w:proofErr w:type="spellStart"/>
      <w:r w:rsidRPr="006A1884">
        <w:rPr>
          <w:rFonts w:ascii="Arial" w:hAnsi="Arial" w:cs="Arial"/>
          <w:sz w:val="24"/>
          <w:szCs w:val="24"/>
          <w:lang w:val="es-VE"/>
        </w:rPr>
        <w:t>Minerals</w:t>
      </w:r>
      <w:proofErr w:type="spellEnd"/>
      <w:r w:rsidRPr="006A1884">
        <w:rPr>
          <w:rFonts w:ascii="Arial" w:hAnsi="Arial" w:cs="Arial"/>
          <w:sz w:val="24"/>
          <w:szCs w:val="24"/>
          <w:lang w:val="es-VE"/>
        </w:rPr>
        <w:t xml:space="preserve"> and </w:t>
      </w:r>
      <w:proofErr w:type="spellStart"/>
      <w:r w:rsidRPr="006A1884">
        <w:rPr>
          <w:rFonts w:ascii="Arial" w:hAnsi="Arial" w:cs="Arial"/>
          <w:sz w:val="24"/>
          <w:szCs w:val="24"/>
          <w:lang w:val="es-VE"/>
        </w:rPr>
        <w:t>Energy</w:t>
      </w:r>
      <w:proofErr w:type="spellEnd"/>
      <w:r w:rsidRPr="006A1884">
        <w:rPr>
          <w:rFonts w:ascii="Arial" w:hAnsi="Arial" w:cs="Arial"/>
          <w:sz w:val="24"/>
          <w:szCs w:val="24"/>
          <w:lang w:val="es-VE"/>
        </w:rPr>
        <w:t xml:space="preserve"> </w:t>
      </w:r>
      <w:proofErr w:type="spellStart"/>
      <w:r w:rsidRPr="006A1884">
        <w:rPr>
          <w:rFonts w:ascii="Arial" w:hAnsi="Arial" w:cs="Arial"/>
          <w:sz w:val="24"/>
          <w:szCs w:val="24"/>
          <w:lang w:val="es-VE"/>
        </w:rPr>
        <w:t>Transi</w:t>
      </w:r>
      <w:r w:rsidRPr="006A1884">
        <w:rPr>
          <w:rFonts w:ascii="Arial" w:hAnsi="Arial" w:cs="Arial"/>
          <w:sz w:val="24"/>
          <w:szCs w:val="24"/>
          <w:lang w:val="es-VE"/>
        </w:rPr>
        <w:t>tion</w:t>
      </w:r>
      <w:proofErr w:type="spellEnd"/>
      <w:r w:rsidRPr="006A1884">
        <w:rPr>
          <w:rFonts w:ascii="Arial" w:hAnsi="Arial" w:cs="Arial"/>
          <w:sz w:val="24"/>
          <w:szCs w:val="24"/>
          <w:lang w:val="es-VE"/>
        </w:rPr>
        <w:t>. https://www.iea.org/reports/world-energy-outlook-2024</w:t>
      </w:r>
    </w:p>
    <w:p w:rsidR="00AA6577" w:rsidRPr="006A1884" w:rsidRDefault="00F43E06" w:rsidP="00683A6B">
      <w:pPr>
        <w:pStyle w:val="Prrafodelista"/>
        <w:numPr>
          <w:ilvl w:val="0"/>
          <w:numId w:val="5"/>
        </w:numPr>
        <w:jc w:val="both"/>
        <w:rPr>
          <w:rFonts w:ascii="Arial" w:hAnsi="Arial" w:cs="Arial"/>
          <w:sz w:val="24"/>
          <w:szCs w:val="24"/>
          <w:lang w:val="es-VE"/>
        </w:rPr>
      </w:pPr>
      <w:r w:rsidRPr="006A1884">
        <w:rPr>
          <w:rFonts w:ascii="Arial" w:hAnsi="Arial" w:cs="Arial"/>
          <w:sz w:val="24"/>
          <w:szCs w:val="24"/>
          <w:lang w:val="es-VE"/>
        </w:rPr>
        <w:t xml:space="preserve">Banco Mundial. (2025). </w:t>
      </w:r>
      <w:proofErr w:type="spellStart"/>
      <w:r w:rsidRPr="006A1884">
        <w:rPr>
          <w:rFonts w:ascii="Arial" w:hAnsi="Arial" w:cs="Arial"/>
          <w:sz w:val="24"/>
          <w:szCs w:val="24"/>
          <w:lang w:val="es-VE"/>
        </w:rPr>
        <w:t>Climate</w:t>
      </w:r>
      <w:proofErr w:type="spellEnd"/>
      <w:r w:rsidRPr="006A1884">
        <w:rPr>
          <w:rFonts w:ascii="Arial" w:hAnsi="Arial" w:cs="Arial"/>
          <w:sz w:val="24"/>
          <w:szCs w:val="24"/>
          <w:lang w:val="es-VE"/>
        </w:rPr>
        <w:t xml:space="preserve">-Smart </w:t>
      </w:r>
      <w:proofErr w:type="spellStart"/>
      <w:r w:rsidRPr="006A1884">
        <w:rPr>
          <w:rFonts w:ascii="Arial" w:hAnsi="Arial" w:cs="Arial"/>
          <w:sz w:val="24"/>
          <w:szCs w:val="24"/>
          <w:lang w:val="es-VE"/>
        </w:rPr>
        <w:t>Mining</w:t>
      </w:r>
      <w:proofErr w:type="spellEnd"/>
      <w:r w:rsidRPr="006A1884">
        <w:rPr>
          <w:rFonts w:ascii="Arial" w:hAnsi="Arial" w:cs="Arial"/>
          <w:sz w:val="24"/>
          <w:szCs w:val="24"/>
          <w:lang w:val="es-VE"/>
        </w:rPr>
        <w:t xml:space="preserve">: Framework </w:t>
      </w:r>
      <w:proofErr w:type="spellStart"/>
      <w:r w:rsidRPr="006A1884">
        <w:rPr>
          <w:rFonts w:ascii="Arial" w:hAnsi="Arial" w:cs="Arial"/>
          <w:sz w:val="24"/>
          <w:szCs w:val="24"/>
          <w:lang w:val="es-VE"/>
        </w:rPr>
        <w:t>for</w:t>
      </w:r>
      <w:proofErr w:type="spellEnd"/>
      <w:r w:rsidRPr="006A1884">
        <w:rPr>
          <w:rFonts w:ascii="Arial" w:hAnsi="Arial" w:cs="Arial"/>
          <w:sz w:val="24"/>
          <w:szCs w:val="24"/>
          <w:lang w:val="es-VE"/>
        </w:rPr>
        <w:t xml:space="preserve"> </w:t>
      </w:r>
      <w:proofErr w:type="spellStart"/>
      <w:r w:rsidRPr="006A1884">
        <w:rPr>
          <w:rFonts w:ascii="Arial" w:hAnsi="Arial" w:cs="Arial"/>
          <w:sz w:val="24"/>
          <w:szCs w:val="24"/>
          <w:lang w:val="es-VE"/>
        </w:rPr>
        <w:t>Sustainable</w:t>
      </w:r>
      <w:proofErr w:type="spellEnd"/>
      <w:r w:rsidRPr="006A1884">
        <w:rPr>
          <w:rFonts w:ascii="Arial" w:hAnsi="Arial" w:cs="Arial"/>
          <w:sz w:val="24"/>
          <w:szCs w:val="24"/>
          <w:lang w:val="es-VE"/>
        </w:rPr>
        <w:t xml:space="preserve"> </w:t>
      </w:r>
      <w:proofErr w:type="spellStart"/>
      <w:r w:rsidRPr="006A1884">
        <w:rPr>
          <w:rFonts w:ascii="Arial" w:hAnsi="Arial" w:cs="Arial"/>
          <w:sz w:val="24"/>
          <w:szCs w:val="24"/>
          <w:lang w:val="es-VE"/>
        </w:rPr>
        <w:t>Critical</w:t>
      </w:r>
      <w:proofErr w:type="spellEnd"/>
      <w:r w:rsidRPr="006A1884">
        <w:rPr>
          <w:rFonts w:ascii="Arial" w:hAnsi="Arial" w:cs="Arial"/>
          <w:sz w:val="24"/>
          <w:szCs w:val="24"/>
          <w:lang w:val="es-VE"/>
        </w:rPr>
        <w:t xml:space="preserve"> </w:t>
      </w:r>
      <w:proofErr w:type="spellStart"/>
      <w:r w:rsidRPr="006A1884">
        <w:rPr>
          <w:rFonts w:ascii="Arial" w:hAnsi="Arial" w:cs="Arial"/>
          <w:sz w:val="24"/>
          <w:szCs w:val="24"/>
          <w:lang w:val="es-VE"/>
        </w:rPr>
        <w:t>Minerals</w:t>
      </w:r>
      <w:proofErr w:type="spellEnd"/>
      <w:r w:rsidRPr="006A1884">
        <w:rPr>
          <w:rFonts w:ascii="Arial" w:hAnsi="Arial" w:cs="Arial"/>
          <w:sz w:val="24"/>
          <w:szCs w:val="24"/>
          <w:lang w:val="es-VE"/>
        </w:rPr>
        <w:t>. https://www.worldbank.org/climatemining</w:t>
      </w:r>
    </w:p>
    <w:p w:rsidR="00AA6577" w:rsidRPr="006A1884" w:rsidRDefault="00F43E06" w:rsidP="00683A6B">
      <w:pPr>
        <w:pStyle w:val="Prrafodelista"/>
        <w:numPr>
          <w:ilvl w:val="0"/>
          <w:numId w:val="5"/>
        </w:numPr>
        <w:jc w:val="both"/>
        <w:rPr>
          <w:rFonts w:ascii="Arial" w:hAnsi="Arial" w:cs="Arial"/>
          <w:sz w:val="24"/>
          <w:szCs w:val="24"/>
          <w:lang w:val="es-VE"/>
        </w:rPr>
      </w:pPr>
      <w:proofErr w:type="spellStart"/>
      <w:r w:rsidRPr="006A1884">
        <w:rPr>
          <w:rFonts w:ascii="Arial" w:hAnsi="Arial" w:cs="Arial"/>
          <w:sz w:val="24"/>
          <w:szCs w:val="24"/>
          <w:lang w:val="es-VE"/>
        </w:rPr>
        <w:t>BloombergNEF</w:t>
      </w:r>
      <w:proofErr w:type="spellEnd"/>
      <w:r w:rsidRPr="006A1884">
        <w:rPr>
          <w:rFonts w:ascii="Arial" w:hAnsi="Arial" w:cs="Arial"/>
          <w:sz w:val="24"/>
          <w:szCs w:val="24"/>
          <w:lang w:val="es-VE"/>
        </w:rPr>
        <w:t xml:space="preserve">. (2025). </w:t>
      </w:r>
      <w:proofErr w:type="spellStart"/>
      <w:r w:rsidRPr="006A1884">
        <w:rPr>
          <w:rFonts w:ascii="Arial" w:hAnsi="Arial" w:cs="Arial"/>
          <w:sz w:val="24"/>
          <w:szCs w:val="24"/>
          <w:lang w:val="es-VE"/>
        </w:rPr>
        <w:t>Energy</w:t>
      </w:r>
      <w:proofErr w:type="spellEnd"/>
      <w:r w:rsidRPr="006A1884">
        <w:rPr>
          <w:rFonts w:ascii="Arial" w:hAnsi="Arial" w:cs="Arial"/>
          <w:sz w:val="24"/>
          <w:szCs w:val="24"/>
          <w:lang w:val="es-VE"/>
        </w:rPr>
        <w:t xml:space="preserve"> </w:t>
      </w:r>
      <w:proofErr w:type="spellStart"/>
      <w:r w:rsidRPr="006A1884">
        <w:rPr>
          <w:rFonts w:ascii="Arial" w:hAnsi="Arial" w:cs="Arial"/>
          <w:sz w:val="24"/>
          <w:szCs w:val="24"/>
          <w:lang w:val="es-VE"/>
        </w:rPr>
        <w:t>Transition</w:t>
      </w:r>
      <w:proofErr w:type="spellEnd"/>
      <w:r w:rsidRPr="006A1884">
        <w:rPr>
          <w:rFonts w:ascii="Arial" w:hAnsi="Arial" w:cs="Arial"/>
          <w:sz w:val="24"/>
          <w:szCs w:val="24"/>
          <w:lang w:val="es-VE"/>
        </w:rPr>
        <w:t xml:space="preserve"> </w:t>
      </w:r>
      <w:proofErr w:type="spellStart"/>
      <w:r w:rsidRPr="006A1884">
        <w:rPr>
          <w:rFonts w:ascii="Arial" w:hAnsi="Arial" w:cs="Arial"/>
          <w:sz w:val="24"/>
          <w:szCs w:val="24"/>
          <w:lang w:val="es-VE"/>
        </w:rPr>
        <w:t>Investment</w:t>
      </w:r>
      <w:proofErr w:type="spellEnd"/>
      <w:r w:rsidRPr="006A1884">
        <w:rPr>
          <w:rFonts w:ascii="Arial" w:hAnsi="Arial" w:cs="Arial"/>
          <w:sz w:val="24"/>
          <w:szCs w:val="24"/>
          <w:lang w:val="es-VE"/>
        </w:rPr>
        <w:t xml:space="preserve"> </w:t>
      </w:r>
      <w:proofErr w:type="spellStart"/>
      <w:r w:rsidRPr="006A1884">
        <w:rPr>
          <w:rFonts w:ascii="Arial" w:hAnsi="Arial" w:cs="Arial"/>
          <w:sz w:val="24"/>
          <w:szCs w:val="24"/>
          <w:lang w:val="es-VE"/>
        </w:rPr>
        <w:t>Trends</w:t>
      </w:r>
      <w:proofErr w:type="spellEnd"/>
      <w:r w:rsidRPr="006A1884">
        <w:rPr>
          <w:rFonts w:ascii="Arial" w:hAnsi="Arial" w:cs="Arial"/>
          <w:sz w:val="24"/>
          <w:szCs w:val="24"/>
          <w:lang w:val="es-VE"/>
        </w:rPr>
        <w:t xml:space="preserve"> 2025. ht</w:t>
      </w:r>
      <w:r w:rsidRPr="006A1884">
        <w:rPr>
          <w:rFonts w:ascii="Arial" w:hAnsi="Arial" w:cs="Arial"/>
          <w:sz w:val="24"/>
          <w:szCs w:val="24"/>
          <w:lang w:val="es-VE"/>
        </w:rPr>
        <w:t>tps://about.bnef.com/energy-transition-investment</w:t>
      </w:r>
    </w:p>
    <w:p w:rsidR="00AA6577" w:rsidRPr="006A1884" w:rsidRDefault="00F43E06" w:rsidP="00683A6B">
      <w:pPr>
        <w:pStyle w:val="Prrafodelista"/>
        <w:numPr>
          <w:ilvl w:val="0"/>
          <w:numId w:val="5"/>
        </w:numPr>
        <w:jc w:val="both"/>
        <w:rPr>
          <w:rFonts w:ascii="Arial" w:hAnsi="Arial" w:cs="Arial"/>
          <w:sz w:val="24"/>
          <w:szCs w:val="24"/>
          <w:lang w:val="es-VE"/>
        </w:rPr>
      </w:pPr>
      <w:r w:rsidRPr="006A1884">
        <w:rPr>
          <w:rFonts w:ascii="Arial" w:hAnsi="Arial" w:cs="Arial"/>
          <w:sz w:val="24"/>
          <w:szCs w:val="24"/>
          <w:lang w:val="es-VE"/>
        </w:rPr>
        <w:t xml:space="preserve">Corte Suprema de Países Bajos. (2024). Sentencia caso Shell v. </w:t>
      </w:r>
      <w:proofErr w:type="spellStart"/>
      <w:r w:rsidRPr="006A1884">
        <w:rPr>
          <w:rFonts w:ascii="Arial" w:hAnsi="Arial" w:cs="Arial"/>
          <w:sz w:val="24"/>
          <w:szCs w:val="24"/>
          <w:lang w:val="es-VE"/>
        </w:rPr>
        <w:t>Milieudefensie</w:t>
      </w:r>
      <w:proofErr w:type="spellEnd"/>
      <w:r w:rsidRPr="006A1884">
        <w:rPr>
          <w:rFonts w:ascii="Arial" w:hAnsi="Arial" w:cs="Arial"/>
          <w:sz w:val="24"/>
          <w:szCs w:val="24"/>
          <w:lang w:val="es-VE"/>
        </w:rPr>
        <w:t xml:space="preserve"> (N°23/04567). https://uitspraken.rechtspraak.nl/shell-climate-case</w:t>
      </w:r>
    </w:p>
    <w:p w:rsidR="00AA6577" w:rsidRPr="006A1884" w:rsidRDefault="00F43E06" w:rsidP="00683A6B">
      <w:pPr>
        <w:pStyle w:val="Prrafodelista"/>
        <w:numPr>
          <w:ilvl w:val="0"/>
          <w:numId w:val="5"/>
        </w:numPr>
        <w:jc w:val="both"/>
        <w:rPr>
          <w:rFonts w:ascii="Arial" w:hAnsi="Arial" w:cs="Arial"/>
          <w:sz w:val="24"/>
          <w:szCs w:val="24"/>
          <w:lang w:val="es-VE"/>
        </w:rPr>
      </w:pPr>
      <w:r w:rsidRPr="006A1884">
        <w:rPr>
          <w:rFonts w:ascii="Arial" w:hAnsi="Arial" w:cs="Arial"/>
          <w:sz w:val="24"/>
          <w:szCs w:val="24"/>
          <w:lang w:val="es-VE"/>
        </w:rPr>
        <w:t xml:space="preserve">Comisión Europea. (2023). Green </w:t>
      </w:r>
      <w:proofErr w:type="spellStart"/>
      <w:r w:rsidRPr="006A1884">
        <w:rPr>
          <w:rFonts w:ascii="Arial" w:hAnsi="Arial" w:cs="Arial"/>
          <w:sz w:val="24"/>
          <w:szCs w:val="24"/>
          <w:lang w:val="es-VE"/>
        </w:rPr>
        <w:t>Deal</w:t>
      </w:r>
      <w:proofErr w:type="spellEnd"/>
      <w:r w:rsidRPr="006A1884">
        <w:rPr>
          <w:rFonts w:ascii="Arial" w:hAnsi="Arial" w:cs="Arial"/>
          <w:sz w:val="24"/>
          <w:szCs w:val="24"/>
          <w:lang w:val="es-VE"/>
        </w:rPr>
        <w:t xml:space="preserve"> Industrial Plan: </w:t>
      </w:r>
      <w:proofErr w:type="spellStart"/>
      <w:r w:rsidRPr="006A1884">
        <w:rPr>
          <w:rFonts w:ascii="Arial" w:hAnsi="Arial" w:cs="Arial"/>
          <w:sz w:val="24"/>
          <w:szCs w:val="24"/>
          <w:lang w:val="es-VE"/>
        </w:rPr>
        <w:t>Regulat</w:t>
      </w:r>
      <w:r w:rsidRPr="006A1884">
        <w:rPr>
          <w:rFonts w:ascii="Arial" w:hAnsi="Arial" w:cs="Arial"/>
          <w:sz w:val="24"/>
          <w:szCs w:val="24"/>
          <w:lang w:val="es-VE"/>
        </w:rPr>
        <w:t>ory</w:t>
      </w:r>
      <w:proofErr w:type="spellEnd"/>
      <w:r w:rsidRPr="006A1884">
        <w:rPr>
          <w:rFonts w:ascii="Arial" w:hAnsi="Arial" w:cs="Arial"/>
          <w:sz w:val="24"/>
          <w:szCs w:val="24"/>
          <w:lang w:val="es-VE"/>
        </w:rPr>
        <w:t xml:space="preserve"> Framework. https://ec.europa.eu/greendeal  </w:t>
      </w:r>
    </w:p>
    <w:p w:rsidR="00AA6577" w:rsidRPr="006A1884" w:rsidRDefault="00F43E06" w:rsidP="00683A6B">
      <w:pPr>
        <w:pStyle w:val="Prrafodelista"/>
        <w:numPr>
          <w:ilvl w:val="0"/>
          <w:numId w:val="5"/>
        </w:numPr>
        <w:jc w:val="both"/>
        <w:rPr>
          <w:rFonts w:ascii="Arial" w:hAnsi="Arial" w:cs="Arial"/>
          <w:sz w:val="24"/>
          <w:szCs w:val="24"/>
          <w:lang w:val="es-VE"/>
        </w:rPr>
      </w:pPr>
      <w:r w:rsidRPr="006A1884">
        <w:rPr>
          <w:rFonts w:ascii="Arial" w:hAnsi="Arial" w:cs="Arial"/>
          <w:sz w:val="24"/>
          <w:szCs w:val="24"/>
          <w:lang w:val="es-VE"/>
        </w:rPr>
        <w:t xml:space="preserve">COP28 UAE. (2024). Global </w:t>
      </w:r>
      <w:proofErr w:type="spellStart"/>
      <w:r w:rsidRPr="006A1884">
        <w:rPr>
          <w:rFonts w:ascii="Arial" w:hAnsi="Arial" w:cs="Arial"/>
          <w:sz w:val="24"/>
          <w:szCs w:val="24"/>
          <w:lang w:val="es-VE"/>
        </w:rPr>
        <w:t>Renewables</w:t>
      </w:r>
      <w:proofErr w:type="spellEnd"/>
      <w:r w:rsidRPr="006A1884">
        <w:rPr>
          <w:rFonts w:ascii="Arial" w:hAnsi="Arial" w:cs="Arial"/>
          <w:sz w:val="24"/>
          <w:szCs w:val="24"/>
          <w:lang w:val="es-VE"/>
        </w:rPr>
        <w:t xml:space="preserve"> and </w:t>
      </w:r>
      <w:proofErr w:type="spellStart"/>
      <w:r w:rsidRPr="006A1884">
        <w:rPr>
          <w:rFonts w:ascii="Arial" w:hAnsi="Arial" w:cs="Arial"/>
          <w:sz w:val="24"/>
          <w:szCs w:val="24"/>
          <w:lang w:val="es-VE"/>
        </w:rPr>
        <w:t>Energy</w:t>
      </w:r>
      <w:proofErr w:type="spellEnd"/>
      <w:r w:rsidRPr="006A1884">
        <w:rPr>
          <w:rFonts w:ascii="Arial" w:hAnsi="Arial" w:cs="Arial"/>
          <w:sz w:val="24"/>
          <w:szCs w:val="24"/>
          <w:lang w:val="es-VE"/>
        </w:rPr>
        <w:t xml:space="preserve"> </w:t>
      </w:r>
      <w:proofErr w:type="spellStart"/>
      <w:r w:rsidRPr="006A1884">
        <w:rPr>
          <w:rFonts w:ascii="Arial" w:hAnsi="Arial" w:cs="Arial"/>
          <w:sz w:val="24"/>
          <w:szCs w:val="24"/>
          <w:lang w:val="es-VE"/>
        </w:rPr>
        <w:t>Efficiency</w:t>
      </w:r>
      <w:proofErr w:type="spellEnd"/>
      <w:r w:rsidRPr="006A1884">
        <w:rPr>
          <w:rFonts w:ascii="Arial" w:hAnsi="Arial" w:cs="Arial"/>
          <w:sz w:val="24"/>
          <w:szCs w:val="24"/>
          <w:lang w:val="es-VE"/>
        </w:rPr>
        <w:t xml:space="preserve"> </w:t>
      </w:r>
      <w:proofErr w:type="spellStart"/>
      <w:r w:rsidRPr="006A1884">
        <w:rPr>
          <w:rFonts w:ascii="Arial" w:hAnsi="Arial" w:cs="Arial"/>
          <w:sz w:val="24"/>
          <w:szCs w:val="24"/>
          <w:lang w:val="es-VE"/>
        </w:rPr>
        <w:t>Pledge</w:t>
      </w:r>
      <w:proofErr w:type="spellEnd"/>
      <w:r w:rsidRPr="006A1884">
        <w:rPr>
          <w:rFonts w:ascii="Arial" w:hAnsi="Arial" w:cs="Arial"/>
          <w:sz w:val="24"/>
          <w:szCs w:val="24"/>
          <w:lang w:val="es-VE"/>
        </w:rPr>
        <w:t>. https://www.cop28.com/en/energy-pact</w:t>
      </w:r>
    </w:p>
    <w:p w:rsidR="00AA6577" w:rsidRPr="006A1884" w:rsidRDefault="00F43E06" w:rsidP="00683A6B">
      <w:pPr>
        <w:pStyle w:val="Prrafodelista"/>
        <w:numPr>
          <w:ilvl w:val="0"/>
          <w:numId w:val="5"/>
        </w:numPr>
        <w:jc w:val="both"/>
        <w:rPr>
          <w:rFonts w:ascii="Arial" w:hAnsi="Arial" w:cs="Arial"/>
          <w:sz w:val="24"/>
          <w:szCs w:val="24"/>
          <w:lang w:val="es-VE"/>
        </w:rPr>
      </w:pPr>
      <w:proofErr w:type="spellStart"/>
      <w:r w:rsidRPr="006A1884">
        <w:rPr>
          <w:rFonts w:ascii="Arial" w:hAnsi="Arial" w:cs="Arial"/>
          <w:sz w:val="24"/>
          <w:szCs w:val="24"/>
          <w:lang w:val="es-VE"/>
        </w:rPr>
        <w:t>Energy</w:t>
      </w:r>
      <w:proofErr w:type="spellEnd"/>
      <w:r w:rsidRPr="006A1884">
        <w:rPr>
          <w:rFonts w:ascii="Arial" w:hAnsi="Arial" w:cs="Arial"/>
          <w:sz w:val="24"/>
          <w:szCs w:val="24"/>
          <w:lang w:val="es-VE"/>
        </w:rPr>
        <w:t xml:space="preserve"> </w:t>
      </w:r>
      <w:proofErr w:type="spellStart"/>
      <w:r w:rsidRPr="006A1884">
        <w:rPr>
          <w:rFonts w:ascii="Arial" w:hAnsi="Arial" w:cs="Arial"/>
          <w:sz w:val="24"/>
          <w:szCs w:val="24"/>
          <w:lang w:val="es-VE"/>
        </w:rPr>
        <w:t>Democracy</w:t>
      </w:r>
      <w:proofErr w:type="spellEnd"/>
      <w:r w:rsidRPr="006A1884">
        <w:rPr>
          <w:rFonts w:ascii="Arial" w:hAnsi="Arial" w:cs="Arial"/>
          <w:sz w:val="24"/>
          <w:szCs w:val="24"/>
          <w:lang w:val="es-VE"/>
        </w:rPr>
        <w:t xml:space="preserve"> </w:t>
      </w:r>
      <w:proofErr w:type="spellStart"/>
      <w:r w:rsidRPr="006A1884">
        <w:rPr>
          <w:rFonts w:ascii="Arial" w:hAnsi="Arial" w:cs="Arial"/>
          <w:sz w:val="24"/>
          <w:szCs w:val="24"/>
          <w:lang w:val="es-VE"/>
        </w:rPr>
        <w:t>Map</w:t>
      </w:r>
      <w:proofErr w:type="spellEnd"/>
      <w:r w:rsidRPr="006A1884">
        <w:rPr>
          <w:rFonts w:ascii="Arial" w:hAnsi="Arial" w:cs="Arial"/>
          <w:sz w:val="24"/>
          <w:szCs w:val="24"/>
          <w:lang w:val="es-VE"/>
        </w:rPr>
        <w:t xml:space="preserve">. (2025). </w:t>
      </w:r>
      <w:proofErr w:type="spellStart"/>
      <w:r w:rsidRPr="006A1884">
        <w:rPr>
          <w:rFonts w:ascii="Arial" w:hAnsi="Arial" w:cs="Arial"/>
          <w:sz w:val="24"/>
          <w:szCs w:val="24"/>
          <w:lang w:val="es-VE"/>
        </w:rPr>
        <w:t>Interactive</w:t>
      </w:r>
      <w:proofErr w:type="spellEnd"/>
      <w:r w:rsidRPr="006A1884">
        <w:rPr>
          <w:rFonts w:ascii="Arial" w:hAnsi="Arial" w:cs="Arial"/>
          <w:sz w:val="24"/>
          <w:szCs w:val="24"/>
          <w:lang w:val="es-VE"/>
        </w:rPr>
        <w:t xml:space="preserve"> Atlas of </w:t>
      </w:r>
      <w:proofErr w:type="spellStart"/>
      <w:r w:rsidRPr="006A1884">
        <w:rPr>
          <w:rFonts w:ascii="Arial" w:hAnsi="Arial" w:cs="Arial"/>
          <w:sz w:val="24"/>
          <w:szCs w:val="24"/>
          <w:lang w:val="es-VE"/>
        </w:rPr>
        <w:t>Community</w:t>
      </w:r>
      <w:proofErr w:type="spellEnd"/>
      <w:r w:rsidRPr="006A1884">
        <w:rPr>
          <w:rFonts w:ascii="Arial" w:hAnsi="Arial" w:cs="Arial"/>
          <w:sz w:val="24"/>
          <w:szCs w:val="24"/>
          <w:lang w:val="es-VE"/>
        </w:rPr>
        <w:t xml:space="preserve"> </w:t>
      </w:r>
      <w:proofErr w:type="spellStart"/>
      <w:r w:rsidRPr="006A1884">
        <w:rPr>
          <w:rFonts w:ascii="Arial" w:hAnsi="Arial" w:cs="Arial"/>
          <w:sz w:val="24"/>
          <w:szCs w:val="24"/>
          <w:lang w:val="es-VE"/>
        </w:rPr>
        <w:t>Energy</w:t>
      </w:r>
      <w:proofErr w:type="spellEnd"/>
      <w:r w:rsidRPr="006A1884">
        <w:rPr>
          <w:rFonts w:ascii="Arial" w:hAnsi="Arial" w:cs="Arial"/>
          <w:sz w:val="24"/>
          <w:szCs w:val="24"/>
          <w:lang w:val="es-VE"/>
        </w:rPr>
        <w:t xml:space="preserve"> </w:t>
      </w:r>
      <w:proofErr w:type="spellStart"/>
      <w:r w:rsidRPr="006A1884">
        <w:rPr>
          <w:rFonts w:ascii="Arial" w:hAnsi="Arial" w:cs="Arial"/>
          <w:sz w:val="24"/>
          <w:szCs w:val="24"/>
          <w:lang w:val="es-VE"/>
        </w:rPr>
        <w:t>Projects</w:t>
      </w:r>
      <w:proofErr w:type="spellEnd"/>
      <w:r w:rsidRPr="006A1884">
        <w:rPr>
          <w:rFonts w:ascii="Arial" w:hAnsi="Arial" w:cs="Arial"/>
          <w:sz w:val="24"/>
          <w:szCs w:val="24"/>
          <w:lang w:val="es-VE"/>
        </w:rPr>
        <w:t>. https://www.energydemocrac</w:t>
      </w:r>
      <w:r w:rsidRPr="006A1884">
        <w:rPr>
          <w:rFonts w:ascii="Arial" w:hAnsi="Arial" w:cs="Arial"/>
          <w:sz w:val="24"/>
          <w:szCs w:val="24"/>
          <w:lang w:val="es-VE"/>
        </w:rPr>
        <w:t>y.ma</w:t>
      </w:r>
    </w:p>
    <w:p w:rsidR="00AA6577" w:rsidRPr="006A1884" w:rsidRDefault="00F43E06" w:rsidP="00683A6B">
      <w:pPr>
        <w:pStyle w:val="Prrafodelista"/>
        <w:numPr>
          <w:ilvl w:val="0"/>
          <w:numId w:val="5"/>
        </w:numPr>
        <w:jc w:val="both"/>
        <w:rPr>
          <w:rFonts w:ascii="Arial" w:hAnsi="Arial" w:cs="Arial"/>
          <w:sz w:val="24"/>
          <w:szCs w:val="24"/>
          <w:lang w:val="es-VE"/>
        </w:rPr>
      </w:pPr>
      <w:proofErr w:type="spellStart"/>
      <w:r w:rsidRPr="006A1884">
        <w:rPr>
          <w:rFonts w:ascii="Arial" w:hAnsi="Arial" w:cs="Arial"/>
          <w:sz w:val="24"/>
          <w:szCs w:val="24"/>
          <w:lang w:val="es-VE"/>
        </w:rPr>
        <w:t>Financial</w:t>
      </w:r>
      <w:proofErr w:type="spellEnd"/>
      <w:r w:rsidRPr="006A1884">
        <w:rPr>
          <w:rFonts w:ascii="Arial" w:hAnsi="Arial" w:cs="Arial"/>
          <w:sz w:val="24"/>
          <w:szCs w:val="24"/>
          <w:lang w:val="es-VE"/>
        </w:rPr>
        <w:t xml:space="preserve"> Times. (2025, marzo 15). </w:t>
      </w:r>
      <w:proofErr w:type="spellStart"/>
      <w:r w:rsidRPr="006A1884">
        <w:rPr>
          <w:rFonts w:ascii="Arial" w:hAnsi="Arial" w:cs="Arial"/>
          <w:sz w:val="24"/>
          <w:szCs w:val="24"/>
          <w:lang w:val="es-VE"/>
        </w:rPr>
        <w:t>The</w:t>
      </w:r>
      <w:proofErr w:type="spellEnd"/>
      <w:r w:rsidRPr="006A1884">
        <w:rPr>
          <w:rFonts w:ascii="Arial" w:hAnsi="Arial" w:cs="Arial"/>
          <w:sz w:val="24"/>
          <w:szCs w:val="24"/>
          <w:lang w:val="es-VE"/>
        </w:rPr>
        <w:t xml:space="preserve"> IRA </w:t>
      </w:r>
      <w:proofErr w:type="spellStart"/>
      <w:r w:rsidRPr="006A1884">
        <w:rPr>
          <w:rFonts w:ascii="Arial" w:hAnsi="Arial" w:cs="Arial"/>
          <w:sz w:val="24"/>
          <w:szCs w:val="24"/>
          <w:lang w:val="es-VE"/>
        </w:rPr>
        <w:t>Effect</w:t>
      </w:r>
      <w:proofErr w:type="spellEnd"/>
      <w:r w:rsidRPr="006A1884">
        <w:rPr>
          <w:rFonts w:ascii="Arial" w:hAnsi="Arial" w:cs="Arial"/>
          <w:sz w:val="24"/>
          <w:szCs w:val="24"/>
          <w:lang w:val="es-VE"/>
        </w:rPr>
        <w:t xml:space="preserve">: </w:t>
      </w:r>
      <w:proofErr w:type="spellStart"/>
      <w:r w:rsidRPr="006A1884">
        <w:rPr>
          <w:rFonts w:ascii="Arial" w:hAnsi="Arial" w:cs="Arial"/>
          <w:sz w:val="24"/>
          <w:szCs w:val="24"/>
          <w:lang w:val="es-VE"/>
        </w:rPr>
        <w:t>How</w:t>
      </w:r>
      <w:proofErr w:type="spellEnd"/>
      <w:r w:rsidRPr="006A1884">
        <w:rPr>
          <w:rFonts w:ascii="Arial" w:hAnsi="Arial" w:cs="Arial"/>
          <w:sz w:val="24"/>
          <w:szCs w:val="24"/>
          <w:lang w:val="es-VE"/>
        </w:rPr>
        <w:t xml:space="preserve"> US subsidies are </w:t>
      </w:r>
      <w:proofErr w:type="spellStart"/>
      <w:r w:rsidRPr="006A1884">
        <w:rPr>
          <w:rFonts w:ascii="Arial" w:hAnsi="Arial" w:cs="Arial"/>
          <w:sz w:val="24"/>
          <w:szCs w:val="24"/>
          <w:lang w:val="es-VE"/>
        </w:rPr>
        <w:t>reshaping</w:t>
      </w:r>
      <w:proofErr w:type="spellEnd"/>
      <w:r w:rsidRPr="006A1884">
        <w:rPr>
          <w:rFonts w:ascii="Arial" w:hAnsi="Arial" w:cs="Arial"/>
          <w:sz w:val="24"/>
          <w:szCs w:val="24"/>
          <w:lang w:val="es-VE"/>
        </w:rPr>
        <w:t xml:space="preserve"> global </w:t>
      </w:r>
      <w:proofErr w:type="spellStart"/>
      <w:r w:rsidRPr="006A1884">
        <w:rPr>
          <w:rFonts w:ascii="Arial" w:hAnsi="Arial" w:cs="Arial"/>
          <w:sz w:val="24"/>
          <w:szCs w:val="24"/>
          <w:lang w:val="es-VE"/>
        </w:rPr>
        <w:t>supply</w:t>
      </w:r>
      <w:proofErr w:type="spellEnd"/>
      <w:r w:rsidRPr="006A1884">
        <w:rPr>
          <w:rFonts w:ascii="Arial" w:hAnsi="Arial" w:cs="Arial"/>
          <w:sz w:val="24"/>
          <w:szCs w:val="24"/>
          <w:lang w:val="es-VE"/>
        </w:rPr>
        <w:t xml:space="preserve"> </w:t>
      </w:r>
      <w:proofErr w:type="spellStart"/>
      <w:r w:rsidRPr="006A1884">
        <w:rPr>
          <w:rFonts w:ascii="Arial" w:hAnsi="Arial" w:cs="Arial"/>
          <w:sz w:val="24"/>
          <w:szCs w:val="24"/>
          <w:lang w:val="es-VE"/>
        </w:rPr>
        <w:t>chains</w:t>
      </w:r>
      <w:proofErr w:type="spellEnd"/>
      <w:r w:rsidRPr="006A1884">
        <w:rPr>
          <w:rFonts w:ascii="Arial" w:hAnsi="Arial" w:cs="Arial"/>
          <w:sz w:val="24"/>
          <w:szCs w:val="24"/>
          <w:lang w:val="es-VE"/>
        </w:rPr>
        <w:t>. https://www.ft.com/ira-manufacturing-impact</w:t>
      </w:r>
    </w:p>
    <w:p w:rsidR="00AA6577" w:rsidRPr="006A1884" w:rsidRDefault="00F43E06" w:rsidP="00683A6B">
      <w:pPr>
        <w:pStyle w:val="Prrafodelista"/>
        <w:numPr>
          <w:ilvl w:val="0"/>
          <w:numId w:val="5"/>
        </w:numPr>
        <w:jc w:val="both"/>
        <w:rPr>
          <w:rFonts w:ascii="Arial" w:hAnsi="Arial" w:cs="Arial"/>
          <w:sz w:val="24"/>
          <w:szCs w:val="24"/>
          <w:lang w:val="es-VE"/>
        </w:rPr>
      </w:pPr>
      <w:r w:rsidRPr="006A1884">
        <w:rPr>
          <w:rFonts w:ascii="Arial" w:hAnsi="Arial" w:cs="Arial"/>
          <w:sz w:val="24"/>
          <w:szCs w:val="24"/>
          <w:lang w:val="es-VE"/>
        </w:rPr>
        <w:t xml:space="preserve">Fondo Monetario Internacional (FMI). (2024). Global Subsidies </w:t>
      </w:r>
      <w:proofErr w:type="spellStart"/>
      <w:r w:rsidRPr="006A1884">
        <w:rPr>
          <w:rFonts w:ascii="Arial" w:hAnsi="Arial" w:cs="Arial"/>
          <w:sz w:val="24"/>
          <w:szCs w:val="24"/>
          <w:lang w:val="es-VE"/>
        </w:rPr>
        <w:t>to</w:t>
      </w:r>
      <w:proofErr w:type="spellEnd"/>
      <w:r w:rsidRPr="006A1884">
        <w:rPr>
          <w:rFonts w:ascii="Arial" w:hAnsi="Arial" w:cs="Arial"/>
          <w:sz w:val="24"/>
          <w:szCs w:val="24"/>
          <w:lang w:val="es-VE"/>
        </w:rPr>
        <w:t xml:space="preserve"> </w:t>
      </w:r>
      <w:proofErr w:type="spellStart"/>
      <w:r w:rsidRPr="006A1884">
        <w:rPr>
          <w:rFonts w:ascii="Arial" w:hAnsi="Arial" w:cs="Arial"/>
          <w:sz w:val="24"/>
          <w:szCs w:val="24"/>
          <w:lang w:val="es-VE"/>
        </w:rPr>
        <w:t>Fossil</w:t>
      </w:r>
      <w:proofErr w:type="spellEnd"/>
      <w:r w:rsidRPr="006A1884">
        <w:rPr>
          <w:rFonts w:ascii="Arial" w:hAnsi="Arial" w:cs="Arial"/>
          <w:sz w:val="24"/>
          <w:szCs w:val="24"/>
          <w:lang w:val="es-VE"/>
        </w:rPr>
        <w:t xml:space="preserve"> </w:t>
      </w:r>
      <w:proofErr w:type="spellStart"/>
      <w:r w:rsidRPr="006A1884">
        <w:rPr>
          <w:rFonts w:ascii="Arial" w:hAnsi="Arial" w:cs="Arial"/>
          <w:sz w:val="24"/>
          <w:szCs w:val="24"/>
          <w:lang w:val="es-VE"/>
        </w:rPr>
        <w:t>Fuels</w:t>
      </w:r>
      <w:proofErr w:type="spellEnd"/>
      <w:r w:rsidRPr="006A1884">
        <w:rPr>
          <w:rFonts w:ascii="Arial" w:hAnsi="Arial" w:cs="Arial"/>
          <w:sz w:val="24"/>
          <w:szCs w:val="24"/>
          <w:lang w:val="es-VE"/>
        </w:rPr>
        <w:t xml:space="preserve"> 2024. https://www.imf.org</w:t>
      </w:r>
      <w:r w:rsidRPr="006A1884">
        <w:rPr>
          <w:rFonts w:ascii="Arial" w:hAnsi="Arial" w:cs="Arial"/>
          <w:sz w:val="24"/>
          <w:szCs w:val="24"/>
          <w:lang w:val="es-VE"/>
        </w:rPr>
        <w:t>/fossil-subsidies</w:t>
      </w:r>
    </w:p>
    <w:p w:rsidR="00AA6577" w:rsidRPr="006A1884" w:rsidRDefault="00F43E06" w:rsidP="00683A6B">
      <w:pPr>
        <w:pStyle w:val="Prrafodelista"/>
        <w:numPr>
          <w:ilvl w:val="0"/>
          <w:numId w:val="5"/>
        </w:numPr>
        <w:jc w:val="both"/>
        <w:rPr>
          <w:rFonts w:ascii="Arial" w:hAnsi="Arial" w:cs="Arial"/>
          <w:sz w:val="24"/>
          <w:szCs w:val="24"/>
          <w:lang w:val="es-VE"/>
        </w:rPr>
      </w:pPr>
      <w:r w:rsidRPr="006A1884">
        <w:rPr>
          <w:rFonts w:ascii="Arial" w:hAnsi="Arial" w:cs="Arial"/>
          <w:sz w:val="24"/>
          <w:szCs w:val="24"/>
          <w:lang w:val="es-VE"/>
        </w:rPr>
        <w:t xml:space="preserve">Global </w:t>
      </w:r>
      <w:proofErr w:type="spellStart"/>
      <w:r w:rsidRPr="006A1884">
        <w:rPr>
          <w:rFonts w:ascii="Arial" w:hAnsi="Arial" w:cs="Arial"/>
          <w:sz w:val="24"/>
          <w:szCs w:val="24"/>
          <w:lang w:val="es-VE"/>
        </w:rPr>
        <w:t>Battery</w:t>
      </w:r>
      <w:proofErr w:type="spellEnd"/>
      <w:r w:rsidRPr="006A1884">
        <w:rPr>
          <w:rFonts w:ascii="Arial" w:hAnsi="Arial" w:cs="Arial"/>
          <w:sz w:val="24"/>
          <w:szCs w:val="24"/>
          <w:lang w:val="es-VE"/>
        </w:rPr>
        <w:t xml:space="preserve"> Alliance. (2025). </w:t>
      </w:r>
      <w:proofErr w:type="spellStart"/>
      <w:r w:rsidRPr="006A1884">
        <w:rPr>
          <w:rFonts w:ascii="Arial" w:hAnsi="Arial" w:cs="Arial"/>
          <w:sz w:val="24"/>
          <w:szCs w:val="24"/>
          <w:lang w:val="es-VE"/>
        </w:rPr>
        <w:t>Battery</w:t>
      </w:r>
      <w:proofErr w:type="spellEnd"/>
      <w:r w:rsidRPr="006A1884">
        <w:rPr>
          <w:rFonts w:ascii="Arial" w:hAnsi="Arial" w:cs="Arial"/>
          <w:sz w:val="24"/>
          <w:szCs w:val="24"/>
          <w:lang w:val="es-VE"/>
        </w:rPr>
        <w:t xml:space="preserve"> Passport </w:t>
      </w:r>
      <w:proofErr w:type="spellStart"/>
      <w:r w:rsidRPr="006A1884">
        <w:rPr>
          <w:rFonts w:ascii="Arial" w:hAnsi="Arial" w:cs="Arial"/>
          <w:sz w:val="24"/>
          <w:szCs w:val="24"/>
          <w:lang w:val="es-VE"/>
        </w:rPr>
        <w:t>Pilot</w:t>
      </w:r>
      <w:proofErr w:type="spellEnd"/>
      <w:r w:rsidRPr="006A1884">
        <w:rPr>
          <w:rFonts w:ascii="Arial" w:hAnsi="Arial" w:cs="Arial"/>
          <w:sz w:val="24"/>
          <w:szCs w:val="24"/>
          <w:lang w:val="es-VE"/>
        </w:rPr>
        <w:t xml:space="preserve"> </w:t>
      </w:r>
      <w:proofErr w:type="spellStart"/>
      <w:r w:rsidRPr="006A1884">
        <w:rPr>
          <w:rFonts w:ascii="Arial" w:hAnsi="Arial" w:cs="Arial"/>
          <w:sz w:val="24"/>
          <w:szCs w:val="24"/>
          <w:lang w:val="es-VE"/>
        </w:rPr>
        <w:t>Projects</w:t>
      </w:r>
      <w:proofErr w:type="spellEnd"/>
      <w:r w:rsidRPr="006A1884">
        <w:rPr>
          <w:rFonts w:ascii="Arial" w:hAnsi="Arial" w:cs="Arial"/>
          <w:sz w:val="24"/>
          <w:szCs w:val="24"/>
          <w:lang w:val="es-VE"/>
        </w:rPr>
        <w:t>. https://www.globalbattery.org/passport</w:t>
      </w:r>
    </w:p>
    <w:p w:rsidR="00AA6577" w:rsidRPr="006A1884" w:rsidRDefault="00F43E06" w:rsidP="00683A6B">
      <w:pPr>
        <w:pStyle w:val="Prrafodelista"/>
        <w:numPr>
          <w:ilvl w:val="0"/>
          <w:numId w:val="5"/>
        </w:numPr>
        <w:jc w:val="both"/>
        <w:rPr>
          <w:rFonts w:ascii="Arial" w:hAnsi="Arial" w:cs="Arial"/>
          <w:sz w:val="24"/>
          <w:szCs w:val="24"/>
          <w:lang w:val="es-VE"/>
        </w:rPr>
      </w:pPr>
      <w:r w:rsidRPr="006A1884">
        <w:rPr>
          <w:rFonts w:ascii="Arial" w:hAnsi="Arial" w:cs="Arial"/>
          <w:sz w:val="24"/>
          <w:szCs w:val="24"/>
          <w:lang w:val="es-VE"/>
        </w:rPr>
        <w:t xml:space="preserve">Gobierno de Chile. (2022). Ley Marco de Cambio Climático (N°21.455). https://www.gob.cl/cambioclimatico  </w:t>
      </w:r>
    </w:p>
    <w:p w:rsidR="00AA6577" w:rsidRPr="006A1884" w:rsidRDefault="00F43E06" w:rsidP="00683A6B">
      <w:pPr>
        <w:pStyle w:val="Prrafodelista"/>
        <w:numPr>
          <w:ilvl w:val="0"/>
          <w:numId w:val="5"/>
        </w:numPr>
        <w:jc w:val="both"/>
        <w:rPr>
          <w:rFonts w:ascii="Arial" w:hAnsi="Arial" w:cs="Arial"/>
          <w:sz w:val="24"/>
          <w:szCs w:val="24"/>
          <w:lang w:val="es-VE"/>
        </w:rPr>
      </w:pPr>
      <w:r w:rsidRPr="006A1884">
        <w:rPr>
          <w:rFonts w:ascii="Arial" w:hAnsi="Arial" w:cs="Arial"/>
          <w:sz w:val="24"/>
          <w:szCs w:val="24"/>
          <w:lang w:val="es-VE"/>
        </w:rPr>
        <w:t xml:space="preserve">International </w:t>
      </w:r>
      <w:proofErr w:type="spellStart"/>
      <w:r w:rsidRPr="006A1884">
        <w:rPr>
          <w:rFonts w:ascii="Arial" w:hAnsi="Arial" w:cs="Arial"/>
          <w:sz w:val="24"/>
          <w:szCs w:val="24"/>
          <w:lang w:val="es-VE"/>
        </w:rPr>
        <w:t>Renewable</w:t>
      </w:r>
      <w:proofErr w:type="spellEnd"/>
      <w:r w:rsidRPr="006A1884">
        <w:rPr>
          <w:rFonts w:ascii="Arial" w:hAnsi="Arial" w:cs="Arial"/>
          <w:sz w:val="24"/>
          <w:szCs w:val="24"/>
          <w:lang w:val="es-VE"/>
        </w:rPr>
        <w:t xml:space="preserve"> </w:t>
      </w:r>
      <w:proofErr w:type="spellStart"/>
      <w:r w:rsidRPr="006A1884">
        <w:rPr>
          <w:rFonts w:ascii="Arial" w:hAnsi="Arial" w:cs="Arial"/>
          <w:sz w:val="24"/>
          <w:szCs w:val="24"/>
          <w:lang w:val="es-VE"/>
        </w:rPr>
        <w:t>Ene</w:t>
      </w:r>
      <w:r w:rsidRPr="006A1884">
        <w:rPr>
          <w:rFonts w:ascii="Arial" w:hAnsi="Arial" w:cs="Arial"/>
          <w:sz w:val="24"/>
          <w:szCs w:val="24"/>
          <w:lang w:val="es-VE"/>
        </w:rPr>
        <w:t>rgy</w:t>
      </w:r>
      <w:proofErr w:type="spellEnd"/>
      <w:r w:rsidRPr="006A1884">
        <w:rPr>
          <w:rFonts w:ascii="Arial" w:hAnsi="Arial" w:cs="Arial"/>
          <w:sz w:val="24"/>
          <w:szCs w:val="24"/>
          <w:lang w:val="es-VE"/>
        </w:rPr>
        <w:t xml:space="preserve"> Agency (IRENA). (2024). </w:t>
      </w:r>
      <w:proofErr w:type="spellStart"/>
      <w:r w:rsidRPr="006A1884">
        <w:rPr>
          <w:rFonts w:ascii="Arial" w:hAnsi="Arial" w:cs="Arial"/>
          <w:sz w:val="24"/>
          <w:szCs w:val="24"/>
          <w:lang w:val="es-VE"/>
        </w:rPr>
        <w:t>Renewable</w:t>
      </w:r>
      <w:proofErr w:type="spellEnd"/>
      <w:r w:rsidRPr="006A1884">
        <w:rPr>
          <w:rFonts w:ascii="Arial" w:hAnsi="Arial" w:cs="Arial"/>
          <w:sz w:val="24"/>
          <w:szCs w:val="24"/>
          <w:lang w:val="es-VE"/>
        </w:rPr>
        <w:t xml:space="preserve"> </w:t>
      </w:r>
      <w:proofErr w:type="spellStart"/>
      <w:r w:rsidRPr="006A1884">
        <w:rPr>
          <w:rFonts w:ascii="Arial" w:hAnsi="Arial" w:cs="Arial"/>
          <w:sz w:val="24"/>
          <w:szCs w:val="24"/>
          <w:lang w:val="es-VE"/>
        </w:rPr>
        <w:t>Power</w:t>
      </w:r>
      <w:proofErr w:type="spellEnd"/>
      <w:r w:rsidRPr="006A1884">
        <w:rPr>
          <w:rFonts w:ascii="Arial" w:hAnsi="Arial" w:cs="Arial"/>
          <w:sz w:val="24"/>
          <w:szCs w:val="24"/>
          <w:lang w:val="es-VE"/>
        </w:rPr>
        <w:t xml:space="preserve"> </w:t>
      </w:r>
      <w:proofErr w:type="spellStart"/>
      <w:r w:rsidRPr="006A1884">
        <w:rPr>
          <w:rFonts w:ascii="Arial" w:hAnsi="Arial" w:cs="Arial"/>
          <w:sz w:val="24"/>
          <w:szCs w:val="24"/>
          <w:lang w:val="es-VE"/>
        </w:rPr>
        <w:t>Generation</w:t>
      </w:r>
      <w:proofErr w:type="spellEnd"/>
      <w:r w:rsidRPr="006A1884">
        <w:rPr>
          <w:rFonts w:ascii="Arial" w:hAnsi="Arial" w:cs="Arial"/>
          <w:sz w:val="24"/>
          <w:szCs w:val="24"/>
          <w:lang w:val="es-VE"/>
        </w:rPr>
        <w:t xml:space="preserve"> </w:t>
      </w:r>
      <w:proofErr w:type="spellStart"/>
      <w:r w:rsidRPr="006A1884">
        <w:rPr>
          <w:rFonts w:ascii="Arial" w:hAnsi="Arial" w:cs="Arial"/>
          <w:sz w:val="24"/>
          <w:szCs w:val="24"/>
          <w:lang w:val="es-VE"/>
        </w:rPr>
        <w:t>Costs</w:t>
      </w:r>
      <w:proofErr w:type="spellEnd"/>
      <w:r w:rsidRPr="006A1884">
        <w:rPr>
          <w:rFonts w:ascii="Arial" w:hAnsi="Arial" w:cs="Arial"/>
          <w:sz w:val="24"/>
          <w:szCs w:val="24"/>
          <w:lang w:val="es-VE"/>
        </w:rPr>
        <w:t xml:space="preserve"> 2023. https://www.irena.org/costs2024</w:t>
      </w:r>
    </w:p>
    <w:p w:rsidR="00AA6577" w:rsidRPr="006A1884" w:rsidRDefault="00F43E06" w:rsidP="00683A6B">
      <w:pPr>
        <w:pStyle w:val="Prrafodelista"/>
        <w:numPr>
          <w:ilvl w:val="0"/>
          <w:numId w:val="5"/>
        </w:numPr>
        <w:jc w:val="both"/>
        <w:rPr>
          <w:rFonts w:ascii="Arial" w:hAnsi="Arial" w:cs="Arial"/>
          <w:sz w:val="24"/>
          <w:szCs w:val="24"/>
          <w:lang w:val="es-VE"/>
        </w:rPr>
      </w:pPr>
      <w:r w:rsidRPr="006A1884">
        <w:rPr>
          <w:rFonts w:ascii="Arial" w:hAnsi="Arial" w:cs="Arial"/>
          <w:sz w:val="24"/>
          <w:szCs w:val="24"/>
          <w:lang w:val="es-VE"/>
        </w:rPr>
        <w:lastRenderedPageBreak/>
        <w:t>Programa de las Naciones Unidas para el Desarrollo (PNUD). (2025). Informe sobre Transición Justa en Países en Desarrollo. https://www.undp.org/es/sustainabl</w:t>
      </w:r>
      <w:r w:rsidRPr="006A1884">
        <w:rPr>
          <w:rFonts w:ascii="Arial" w:hAnsi="Arial" w:cs="Arial"/>
          <w:sz w:val="24"/>
          <w:szCs w:val="24"/>
          <w:lang w:val="es-VE"/>
        </w:rPr>
        <w:t xml:space="preserve">e-energy/just-transition  </w:t>
      </w:r>
    </w:p>
    <w:p w:rsidR="00AA6577" w:rsidRPr="006A1884" w:rsidRDefault="00F43E06" w:rsidP="00683A6B">
      <w:pPr>
        <w:pStyle w:val="Prrafodelista"/>
        <w:numPr>
          <w:ilvl w:val="0"/>
          <w:numId w:val="5"/>
        </w:numPr>
        <w:jc w:val="both"/>
        <w:rPr>
          <w:rFonts w:ascii="Arial" w:hAnsi="Arial" w:cs="Arial"/>
          <w:sz w:val="24"/>
          <w:szCs w:val="24"/>
          <w:lang w:val="es-VE"/>
        </w:rPr>
      </w:pPr>
      <w:r w:rsidRPr="006A1884">
        <w:rPr>
          <w:rFonts w:ascii="Arial" w:hAnsi="Arial" w:cs="Arial"/>
          <w:sz w:val="24"/>
          <w:szCs w:val="24"/>
          <w:lang w:val="es-VE"/>
        </w:rPr>
        <w:t xml:space="preserve">Reuters. (2024, noviembre 30). </w:t>
      </w:r>
      <w:proofErr w:type="spellStart"/>
      <w:r w:rsidRPr="006A1884">
        <w:rPr>
          <w:rFonts w:ascii="Arial" w:hAnsi="Arial" w:cs="Arial"/>
          <w:sz w:val="24"/>
          <w:szCs w:val="24"/>
          <w:lang w:val="es-VE"/>
        </w:rPr>
        <w:t>Congo’s</w:t>
      </w:r>
      <w:proofErr w:type="spellEnd"/>
      <w:r w:rsidRPr="006A1884">
        <w:rPr>
          <w:rFonts w:ascii="Arial" w:hAnsi="Arial" w:cs="Arial"/>
          <w:sz w:val="24"/>
          <w:szCs w:val="24"/>
          <w:lang w:val="es-VE"/>
        </w:rPr>
        <w:t xml:space="preserve"> </w:t>
      </w:r>
      <w:proofErr w:type="spellStart"/>
      <w:r w:rsidRPr="006A1884">
        <w:rPr>
          <w:rFonts w:ascii="Arial" w:hAnsi="Arial" w:cs="Arial"/>
          <w:sz w:val="24"/>
          <w:szCs w:val="24"/>
          <w:lang w:val="es-VE"/>
        </w:rPr>
        <w:t>cobalt</w:t>
      </w:r>
      <w:proofErr w:type="spellEnd"/>
      <w:r w:rsidRPr="006A1884">
        <w:rPr>
          <w:rFonts w:ascii="Arial" w:hAnsi="Arial" w:cs="Arial"/>
          <w:sz w:val="24"/>
          <w:szCs w:val="24"/>
          <w:lang w:val="es-VE"/>
        </w:rPr>
        <w:t xml:space="preserve"> boom: </w:t>
      </w:r>
      <w:proofErr w:type="spellStart"/>
      <w:r w:rsidRPr="006A1884">
        <w:rPr>
          <w:rFonts w:ascii="Arial" w:hAnsi="Arial" w:cs="Arial"/>
          <w:sz w:val="24"/>
          <w:szCs w:val="24"/>
          <w:lang w:val="es-VE"/>
        </w:rPr>
        <w:t>Economic</w:t>
      </w:r>
      <w:proofErr w:type="spellEnd"/>
      <w:r w:rsidRPr="006A1884">
        <w:rPr>
          <w:rFonts w:ascii="Arial" w:hAnsi="Arial" w:cs="Arial"/>
          <w:sz w:val="24"/>
          <w:szCs w:val="24"/>
          <w:lang w:val="es-VE"/>
        </w:rPr>
        <w:t xml:space="preserve"> </w:t>
      </w:r>
      <w:proofErr w:type="spellStart"/>
      <w:r w:rsidRPr="006A1884">
        <w:rPr>
          <w:rFonts w:ascii="Arial" w:hAnsi="Arial" w:cs="Arial"/>
          <w:sz w:val="24"/>
          <w:szCs w:val="24"/>
          <w:lang w:val="es-VE"/>
        </w:rPr>
        <w:t>gains</w:t>
      </w:r>
      <w:proofErr w:type="spellEnd"/>
      <w:r w:rsidRPr="006A1884">
        <w:rPr>
          <w:rFonts w:ascii="Arial" w:hAnsi="Arial" w:cs="Arial"/>
          <w:sz w:val="24"/>
          <w:szCs w:val="24"/>
          <w:lang w:val="es-VE"/>
        </w:rPr>
        <w:t xml:space="preserve"> and </w:t>
      </w:r>
      <w:proofErr w:type="spellStart"/>
      <w:r w:rsidRPr="006A1884">
        <w:rPr>
          <w:rFonts w:ascii="Arial" w:hAnsi="Arial" w:cs="Arial"/>
          <w:sz w:val="24"/>
          <w:szCs w:val="24"/>
          <w:lang w:val="es-VE"/>
        </w:rPr>
        <w:t>environmental</w:t>
      </w:r>
      <w:proofErr w:type="spellEnd"/>
      <w:r w:rsidRPr="006A1884">
        <w:rPr>
          <w:rFonts w:ascii="Arial" w:hAnsi="Arial" w:cs="Arial"/>
          <w:sz w:val="24"/>
          <w:szCs w:val="24"/>
          <w:lang w:val="es-VE"/>
        </w:rPr>
        <w:t xml:space="preserve"> </w:t>
      </w:r>
      <w:proofErr w:type="spellStart"/>
      <w:r w:rsidRPr="006A1884">
        <w:rPr>
          <w:rFonts w:ascii="Arial" w:hAnsi="Arial" w:cs="Arial"/>
          <w:sz w:val="24"/>
          <w:szCs w:val="24"/>
          <w:lang w:val="es-VE"/>
        </w:rPr>
        <w:t>costs</w:t>
      </w:r>
      <w:proofErr w:type="spellEnd"/>
      <w:r w:rsidRPr="006A1884">
        <w:rPr>
          <w:rFonts w:ascii="Arial" w:hAnsi="Arial" w:cs="Arial"/>
          <w:sz w:val="24"/>
          <w:szCs w:val="24"/>
          <w:lang w:val="es-VE"/>
        </w:rPr>
        <w:t xml:space="preserve">. https://www.reuters.com/cobalt-congo-2024  </w:t>
      </w:r>
    </w:p>
    <w:p w:rsidR="00AA6577" w:rsidRPr="006A1884" w:rsidRDefault="00F43E06" w:rsidP="00683A6B">
      <w:pPr>
        <w:pStyle w:val="Prrafodelista"/>
        <w:numPr>
          <w:ilvl w:val="0"/>
          <w:numId w:val="5"/>
        </w:numPr>
        <w:jc w:val="both"/>
        <w:rPr>
          <w:rFonts w:ascii="Arial" w:hAnsi="Arial" w:cs="Arial"/>
          <w:sz w:val="24"/>
          <w:szCs w:val="24"/>
          <w:lang w:val="es-VE"/>
        </w:rPr>
      </w:pPr>
      <w:proofErr w:type="spellStart"/>
      <w:r w:rsidRPr="006A1884">
        <w:rPr>
          <w:rFonts w:ascii="Arial" w:hAnsi="Arial" w:cs="Arial"/>
          <w:sz w:val="24"/>
          <w:szCs w:val="24"/>
          <w:lang w:val="es-VE"/>
        </w:rPr>
        <w:t>Sovacool</w:t>
      </w:r>
      <w:proofErr w:type="spellEnd"/>
      <w:r w:rsidRPr="006A1884">
        <w:rPr>
          <w:rFonts w:ascii="Arial" w:hAnsi="Arial" w:cs="Arial"/>
          <w:sz w:val="24"/>
          <w:szCs w:val="24"/>
          <w:lang w:val="es-VE"/>
        </w:rPr>
        <w:t xml:space="preserve">, B. K., &amp; Del Rio, D. F. (2025). </w:t>
      </w:r>
      <w:proofErr w:type="spellStart"/>
      <w:r w:rsidRPr="006A1884">
        <w:rPr>
          <w:rFonts w:ascii="Arial" w:hAnsi="Arial" w:cs="Arial"/>
          <w:sz w:val="24"/>
          <w:szCs w:val="24"/>
          <w:lang w:val="es-VE"/>
        </w:rPr>
        <w:t>The</w:t>
      </w:r>
      <w:proofErr w:type="spellEnd"/>
      <w:r w:rsidRPr="006A1884">
        <w:rPr>
          <w:rFonts w:ascii="Arial" w:hAnsi="Arial" w:cs="Arial"/>
          <w:sz w:val="24"/>
          <w:szCs w:val="24"/>
          <w:lang w:val="es-VE"/>
        </w:rPr>
        <w:t xml:space="preserve"> </w:t>
      </w:r>
      <w:proofErr w:type="spellStart"/>
      <w:r w:rsidRPr="006A1884">
        <w:rPr>
          <w:rFonts w:ascii="Arial" w:hAnsi="Arial" w:cs="Arial"/>
          <w:sz w:val="24"/>
          <w:szCs w:val="24"/>
          <w:lang w:val="es-VE"/>
        </w:rPr>
        <w:t>political</w:t>
      </w:r>
      <w:proofErr w:type="spellEnd"/>
      <w:r w:rsidRPr="006A1884">
        <w:rPr>
          <w:rFonts w:ascii="Arial" w:hAnsi="Arial" w:cs="Arial"/>
          <w:sz w:val="24"/>
          <w:szCs w:val="24"/>
          <w:lang w:val="es-VE"/>
        </w:rPr>
        <w:t xml:space="preserve"> </w:t>
      </w:r>
      <w:proofErr w:type="spellStart"/>
      <w:r w:rsidRPr="006A1884">
        <w:rPr>
          <w:rFonts w:ascii="Arial" w:hAnsi="Arial" w:cs="Arial"/>
          <w:sz w:val="24"/>
          <w:szCs w:val="24"/>
          <w:lang w:val="es-VE"/>
        </w:rPr>
        <w:t>economy</w:t>
      </w:r>
      <w:proofErr w:type="spellEnd"/>
      <w:r w:rsidRPr="006A1884">
        <w:rPr>
          <w:rFonts w:ascii="Arial" w:hAnsi="Arial" w:cs="Arial"/>
          <w:sz w:val="24"/>
          <w:szCs w:val="24"/>
          <w:lang w:val="es-VE"/>
        </w:rPr>
        <w:t xml:space="preserve"> of </w:t>
      </w:r>
      <w:proofErr w:type="spellStart"/>
      <w:r w:rsidRPr="006A1884">
        <w:rPr>
          <w:rFonts w:ascii="Arial" w:hAnsi="Arial" w:cs="Arial"/>
          <w:sz w:val="24"/>
          <w:szCs w:val="24"/>
          <w:lang w:val="es-VE"/>
        </w:rPr>
        <w:t>critical</w:t>
      </w:r>
      <w:proofErr w:type="spellEnd"/>
      <w:r w:rsidRPr="006A1884">
        <w:rPr>
          <w:rFonts w:ascii="Arial" w:hAnsi="Arial" w:cs="Arial"/>
          <w:sz w:val="24"/>
          <w:szCs w:val="24"/>
          <w:lang w:val="es-VE"/>
        </w:rPr>
        <w:t xml:space="preserve"> </w:t>
      </w:r>
      <w:proofErr w:type="spellStart"/>
      <w:r w:rsidRPr="006A1884">
        <w:rPr>
          <w:rFonts w:ascii="Arial" w:hAnsi="Arial" w:cs="Arial"/>
          <w:sz w:val="24"/>
          <w:szCs w:val="24"/>
          <w:lang w:val="es-VE"/>
        </w:rPr>
        <w:t>minerals</w:t>
      </w:r>
      <w:proofErr w:type="spellEnd"/>
      <w:r w:rsidRPr="006A1884">
        <w:rPr>
          <w:rFonts w:ascii="Arial" w:hAnsi="Arial" w:cs="Arial"/>
          <w:sz w:val="24"/>
          <w:szCs w:val="24"/>
          <w:lang w:val="es-VE"/>
        </w:rPr>
        <w:t xml:space="preserve"> in </w:t>
      </w:r>
      <w:proofErr w:type="spellStart"/>
      <w:r w:rsidRPr="006A1884">
        <w:rPr>
          <w:rFonts w:ascii="Arial" w:hAnsi="Arial" w:cs="Arial"/>
          <w:sz w:val="24"/>
          <w:szCs w:val="24"/>
          <w:lang w:val="es-VE"/>
        </w:rPr>
        <w:t>energy</w:t>
      </w:r>
      <w:proofErr w:type="spellEnd"/>
      <w:r w:rsidRPr="006A1884">
        <w:rPr>
          <w:rFonts w:ascii="Arial" w:hAnsi="Arial" w:cs="Arial"/>
          <w:sz w:val="24"/>
          <w:szCs w:val="24"/>
          <w:lang w:val="es-VE"/>
        </w:rPr>
        <w:t xml:space="preserve"> </w:t>
      </w:r>
      <w:proofErr w:type="spellStart"/>
      <w:r w:rsidRPr="006A1884">
        <w:rPr>
          <w:rFonts w:ascii="Arial" w:hAnsi="Arial" w:cs="Arial"/>
          <w:sz w:val="24"/>
          <w:szCs w:val="24"/>
          <w:lang w:val="es-VE"/>
        </w:rPr>
        <w:t>transitions</w:t>
      </w:r>
      <w:proofErr w:type="spellEnd"/>
      <w:r w:rsidRPr="006A1884">
        <w:rPr>
          <w:rFonts w:ascii="Arial" w:hAnsi="Arial" w:cs="Arial"/>
          <w:sz w:val="24"/>
          <w:szCs w:val="24"/>
          <w:lang w:val="es-VE"/>
        </w:rPr>
        <w:t xml:space="preserve">. </w:t>
      </w:r>
      <w:proofErr w:type="spellStart"/>
      <w:r w:rsidRPr="006A1884">
        <w:rPr>
          <w:rFonts w:ascii="Arial" w:hAnsi="Arial" w:cs="Arial"/>
          <w:sz w:val="24"/>
          <w:szCs w:val="24"/>
          <w:lang w:val="es-VE"/>
        </w:rPr>
        <w:t>Nature</w:t>
      </w:r>
      <w:proofErr w:type="spellEnd"/>
      <w:r w:rsidRPr="006A1884">
        <w:rPr>
          <w:rFonts w:ascii="Arial" w:hAnsi="Arial" w:cs="Arial"/>
          <w:sz w:val="24"/>
          <w:szCs w:val="24"/>
          <w:lang w:val="es-VE"/>
        </w:rPr>
        <w:t xml:space="preserve"> </w:t>
      </w:r>
      <w:proofErr w:type="spellStart"/>
      <w:r w:rsidRPr="006A1884">
        <w:rPr>
          <w:rFonts w:ascii="Arial" w:hAnsi="Arial" w:cs="Arial"/>
          <w:sz w:val="24"/>
          <w:szCs w:val="24"/>
          <w:lang w:val="es-VE"/>
        </w:rPr>
        <w:t>Energy</w:t>
      </w:r>
      <w:proofErr w:type="spellEnd"/>
      <w:r w:rsidRPr="006A1884">
        <w:rPr>
          <w:rFonts w:ascii="Arial" w:hAnsi="Arial" w:cs="Arial"/>
          <w:sz w:val="24"/>
          <w:szCs w:val="24"/>
          <w:lang w:val="es-VE"/>
        </w:rPr>
        <w:t xml:space="preserve">, 10(3), 45-62. https://doi.org/10.1038/s41560-024-01573-z </w:t>
      </w:r>
    </w:p>
    <w:p w:rsidR="00AA6577" w:rsidRPr="006A1884" w:rsidRDefault="00F43E06" w:rsidP="00683A6B">
      <w:pPr>
        <w:pStyle w:val="Prrafodelista"/>
        <w:numPr>
          <w:ilvl w:val="0"/>
          <w:numId w:val="5"/>
        </w:numPr>
        <w:jc w:val="both"/>
        <w:rPr>
          <w:rFonts w:ascii="Arial" w:hAnsi="Arial" w:cs="Arial"/>
          <w:sz w:val="24"/>
          <w:szCs w:val="24"/>
          <w:lang w:val="es-VE"/>
        </w:rPr>
      </w:pPr>
      <w:r w:rsidRPr="006A1884">
        <w:rPr>
          <w:rFonts w:ascii="Arial" w:hAnsi="Arial" w:cs="Arial"/>
          <w:sz w:val="24"/>
          <w:szCs w:val="24"/>
          <w:lang w:val="es-VE"/>
        </w:rPr>
        <w:t xml:space="preserve">Torres, M., &amp; García, E. (2024). </w:t>
      </w:r>
      <w:proofErr w:type="spellStart"/>
      <w:r w:rsidRPr="006A1884">
        <w:rPr>
          <w:rFonts w:ascii="Arial" w:hAnsi="Arial" w:cs="Arial"/>
          <w:sz w:val="24"/>
          <w:szCs w:val="24"/>
          <w:lang w:val="es-VE"/>
        </w:rPr>
        <w:t>Energy</w:t>
      </w:r>
      <w:proofErr w:type="spellEnd"/>
      <w:r w:rsidRPr="006A1884">
        <w:rPr>
          <w:rFonts w:ascii="Arial" w:hAnsi="Arial" w:cs="Arial"/>
          <w:sz w:val="24"/>
          <w:szCs w:val="24"/>
          <w:lang w:val="es-VE"/>
        </w:rPr>
        <w:t xml:space="preserve"> </w:t>
      </w:r>
      <w:proofErr w:type="spellStart"/>
      <w:r w:rsidRPr="006A1884">
        <w:rPr>
          <w:rFonts w:ascii="Arial" w:hAnsi="Arial" w:cs="Arial"/>
          <w:sz w:val="24"/>
          <w:szCs w:val="24"/>
          <w:lang w:val="es-VE"/>
        </w:rPr>
        <w:t>justice</w:t>
      </w:r>
      <w:proofErr w:type="spellEnd"/>
      <w:r w:rsidRPr="006A1884">
        <w:rPr>
          <w:rFonts w:ascii="Arial" w:hAnsi="Arial" w:cs="Arial"/>
          <w:sz w:val="24"/>
          <w:szCs w:val="24"/>
          <w:lang w:val="es-VE"/>
        </w:rPr>
        <w:t xml:space="preserve"> in </w:t>
      </w:r>
      <w:proofErr w:type="spellStart"/>
      <w:r w:rsidRPr="006A1884">
        <w:rPr>
          <w:rFonts w:ascii="Arial" w:hAnsi="Arial" w:cs="Arial"/>
          <w:sz w:val="24"/>
          <w:szCs w:val="24"/>
          <w:lang w:val="es-VE"/>
        </w:rPr>
        <w:t>Latin</w:t>
      </w:r>
      <w:proofErr w:type="spellEnd"/>
      <w:r w:rsidRPr="006A1884">
        <w:rPr>
          <w:rFonts w:ascii="Arial" w:hAnsi="Arial" w:cs="Arial"/>
          <w:sz w:val="24"/>
          <w:szCs w:val="24"/>
          <w:lang w:val="es-VE"/>
        </w:rPr>
        <w:t xml:space="preserve"> </w:t>
      </w:r>
      <w:proofErr w:type="spellStart"/>
      <w:r w:rsidRPr="006A1884">
        <w:rPr>
          <w:rFonts w:ascii="Arial" w:hAnsi="Arial" w:cs="Arial"/>
          <w:sz w:val="24"/>
          <w:szCs w:val="24"/>
          <w:lang w:val="es-VE"/>
        </w:rPr>
        <w:t>America</w:t>
      </w:r>
      <w:proofErr w:type="spellEnd"/>
      <w:r w:rsidRPr="006A1884">
        <w:rPr>
          <w:rFonts w:ascii="Arial" w:hAnsi="Arial" w:cs="Arial"/>
          <w:sz w:val="24"/>
          <w:szCs w:val="24"/>
          <w:lang w:val="es-VE"/>
        </w:rPr>
        <w:t xml:space="preserve">: </w:t>
      </w:r>
      <w:proofErr w:type="spellStart"/>
      <w:r w:rsidRPr="006A1884">
        <w:rPr>
          <w:rFonts w:ascii="Arial" w:hAnsi="Arial" w:cs="Arial"/>
          <w:sz w:val="24"/>
          <w:szCs w:val="24"/>
          <w:lang w:val="es-VE"/>
        </w:rPr>
        <w:t>Community-led</w:t>
      </w:r>
      <w:proofErr w:type="spellEnd"/>
      <w:r w:rsidRPr="006A1884">
        <w:rPr>
          <w:rFonts w:ascii="Arial" w:hAnsi="Arial" w:cs="Arial"/>
          <w:sz w:val="24"/>
          <w:szCs w:val="24"/>
          <w:lang w:val="es-VE"/>
        </w:rPr>
        <w:t xml:space="preserve"> </w:t>
      </w:r>
      <w:proofErr w:type="spellStart"/>
      <w:r w:rsidRPr="006A1884">
        <w:rPr>
          <w:rFonts w:ascii="Arial" w:hAnsi="Arial" w:cs="Arial"/>
          <w:sz w:val="24"/>
          <w:szCs w:val="24"/>
          <w:lang w:val="es-VE"/>
        </w:rPr>
        <w:t>renewable</w:t>
      </w:r>
      <w:proofErr w:type="spellEnd"/>
      <w:r w:rsidRPr="006A1884">
        <w:rPr>
          <w:rFonts w:ascii="Arial" w:hAnsi="Arial" w:cs="Arial"/>
          <w:sz w:val="24"/>
          <w:szCs w:val="24"/>
          <w:lang w:val="es-VE"/>
        </w:rPr>
        <w:t xml:space="preserve"> </w:t>
      </w:r>
      <w:proofErr w:type="spellStart"/>
      <w:r w:rsidRPr="006A1884">
        <w:rPr>
          <w:rFonts w:ascii="Arial" w:hAnsi="Arial" w:cs="Arial"/>
          <w:sz w:val="24"/>
          <w:szCs w:val="24"/>
          <w:lang w:val="es-VE"/>
        </w:rPr>
        <w:t>projects</w:t>
      </w:r>
      <w:proofErr w:type="spellEnd"/>
      <w:r w:rsidRPr="006A1884">
        <w:rPr>
          <w:rFonts w:ascii="Arial" w:hAnsi="Arial" w:cs="Arial"/>
          <w:sz w:val="24"/>
          <w:szCs w:val="24"/>
          <w:lang w:val="es-VE"/>
        </w:rPr>
        <w:t xml:space="preserve">. </w:t>
      </w:r>
      <w:proofErr w:type="spellStart"/>
      <w:r w:rsidRPr="006A1884">
        <w:rPr>
          <w:rFonts w:ascii="Arial" w:hAnsi="Arial" w:cs="Arial"/>
          <w:sz w:val="24"/>
          <w:szCs w:val="24"/>
          <w:lang w:val="es-VE"/>
        </w:rPr>
        <w:t>Energy</w:t>
      </w:r>
      <w:proofErr w:type="spellEnd"/>
      <w:r w:rsidRPr="006A1884">
        <w:rPr>
          <w:rFonts w:ascii="Arial" w:hAnsi="Arial" w:cs="Arial"/>
          <w:sz w:val="24"/>
          <w:szCs w:val="24"/>
          <w:lang w:val="es-VE"/>
        </w:rPr>
        <w:t xml:space="preserve"> </w:t>
      </w:r>
      <w:proofErr w:type="spellStart"/>
      <w:r w:rsidRPr="006A1884">
        <w:rPr>
          <w:rFonts w:ascii="Arial" w:hAnsi="Arial" w:cs="Arial"/>
          <w:sz w:val="24"/>
          <w:szCs w:val="24"/>
          <w:lang w:val="es-VE"/>
        </w:rPr>
        <w:t>Policy</w:t>
      </w:r>
      <w:proofErr w:type="spellEnd"/>
      <w:r w:rsidRPr="006A1884">
        <w:rPr>
          <w:rFonts w:ascii="Arial" w:hAnsi="Arial" w:cs="Arial"/>
          <w:sz w:val="24"/>
          <w:szCs w:val="24"/>
          <w:lang w:val="es-VE"/>
        </w:rPr>
        <w:t>, 185, 113502. https://doi.org/10.1016/j.enpol.202</w:t>
      </w:r>
      <w:r w:rsidRPr="006A1884">
        <w:rPr>
          <w:rFonts w:ascii="Arial" w:hAnsi="Arial" w:cs="Arial"/>
          <w:sz w:val="24"/>
          <w:szCs w:val="24"/>
          <w:lang w:val="es-VE"/>
        </w:rPr>
        <w:t xml:space="preserve">4.113502  </w:t>
      </w:r>
    </w:p>
    <w:p w:rsidR="00AA6577" w:rsidRPr="006A1884" w:rsidRDefault="00F43E06" w:rsidP="00683A6B">
      <w:pPr>
        <w:pStyle w:val="Prrafodelista"/>
        <w:numPr>
          <w:ilvl w:val="0"/>
          <w:numId w:val="5"/>
        </w:numPr>
        <w:jc w:val="both"/>
        <w:rPr>
          <w:rFonts w:ascii="Arial" w:hAnsi="Arial" w:cs="Arial"/>
          <w:sz w:val="24"/>
          <w:szCs w:val="24"/>
          <w:lang w:val="es-VE"/>
        </w:rPr>
      </w:pPr>
      <w:r w:rsidRPr="006A1884">
        <w:rPr>
          <w:rFonts w:ascii="Arial" w:hAnsi="Arial" w:cs="Arial"/>
          <w:sz w:val="24"/>
          <w:szCs w:val="24"/>
          <w:lang w:val="es-VE"/>
        </w:rPr>
        <w:t>Unión Europea. (2024). Directiva (UE) 2024/305 sobre Declaraciones Ecológicas Verificadas. Diario Oficial de la UE. https://eur-lex.europa.eu/eli/dir/2024/305</w:t>
      </w:r>
    </w:p>
    <w:sectPr w:rsidR="00AA6577" w:rsidRPr="006A188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E06" w:rsidRDefault="00F43E06">
      <w:pPr>
        <w:spacing w:after="0" w:line="240" w:lineRule="auto"/>
      </w:pPr>
      <w:r>
        <w:separator/>
      </w:r>
    </w:p>
  </w:endnote>
  <w:endnote w:type="continuationSeparator" w:id="0">
    <w:p w:rsidR="00F43E06" w:rsidRDefault="00F43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577" w:rsidRDefault="00AA6577">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E06" w:rsidRDefault="00F43E06">
      <w:pPr>
        <w:spacing w:after="0" w:line="240" w:lineRule="auto"/>
      </w:pPr>
      <w:r>
        <w:separator/>
      </w:r>
    </w:p>
  </w:footnote>
  <w:footnote w:type="continuationSeparator" w:id="0">
    <w:p w:rsidR="00F43E06" w:rsidRDefault="00F43E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577" w:rsidRDefault="00AA6577">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hyphenationZone w:val="425"/>
  <w:doNotShadeFormData/>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6577"/>
    <w:rsid w:val="00683A6B"/>
    <w:rsid w:val="006A1884"/>
    <w:rsid w:val="00AA6577"/>
    <w:rsid w:val="00F43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s-VE" w:eastAsia="es-V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VE" w:eastAsia="es-V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9</Pages>
  <Words>3291</Words>
  <Characters>18103</Characters>
  <Application>Microsoft Office Word</Application>
  <DocSecurity>0</DocSecurity>
  <Lines>150</Lines>
  <Paragraphs>42</Paragraphs>
  <ScaleCrop>false</ScaleCrop>
  <Company/>
  <LinksUpToDate>false</LinksUpToDate>
  <CharactersWithSpaces>21352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SM-A055F</dc:creator>
  <cp:lastModifiedBy>Javier</cp:lastModifiedBy>
  <cp:revision>3</cp:revision>
  <dcterms:created xsi:type="dcterms:W3CDTF">2025-07-19T20:59:00Z</dcterms:created>
  <dcterms:modified xsi:type="dcterms:W3CDTF">2025-07-19T22:20:00Z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0ac6f67faa874e43922dd4c49c8ab2fb</vt:lpwstr>
  </property>
</Properties>
</file>