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ageBreakBefore/>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b/>
          <w:bCs/>
        </w:rPr>
      </w:pPr>
      <w:r>
        <w:rPr>
          <w:rFonts w:ascii="Times New Roman" w:cs="Times New Roman" w:eastAsia="Arial" w:hAnsi="Times New Roman"/>
          <w:b/>
          <w:bCs/>
          <w:color w:val="252525"/>
        </w:rPr>
        <w:t>EVOLUCIÓN DE LA INICIATIVA DE LA FRANJA Y LA RUTA EN AMÉRICA LATINA Y EL CARIBE. EL CASO DE LAS RELACIONES BILATERALES SINO-PERUANAS EN EL PERIODO 2019-2024</w:t>
      </w:r>
    </w:p>
    <w:p>
      <w:pPr>
        <w:pStyle w:val="style0"/>
        <w:spacing w:after="0" w:lineRule="auto" w:line="270"/>
        <w:jc w:val="both"/>
        <w:rPr>
          <w:rFonts w:ascii="Times New Roman" w:cs="Times New Roman" w:hAnsi="Times New Roman"/>
        </w:rPr>
      </w:pPr>
    </w:p>
    <w:p>
      <w:pPr>
        <w:pStyle w:val="style0"/>
        <w:spacing w:after="0" w:lineRule="auto" w:line="270"/>
        <w:jc w:val="both"/>
        <w:rPr>
          <w:rFonts w:ascii="Times New Roman" w:cs="Times New Roman" w:hAnsi="Times New Roman"/>
        </w:rPr>
      </w:pPr>
      <w:r>
        <w:rPr>
          <w:rFonts w:ascii="Times New Roman" w:cs="Times New Roman" w:hAnsi="Times New Roman"/>
        </w:rPr>
        <w:t>Sarah Aylin Noa</w:t>
      </w:r>
      <w:r>
        <w:rPr>
          <w:rFonts w:ascii="Times New Roman" w:cs="Times New Roman" w:hAnsi="Times New Roman"/>
        </w:rPr>
        <w:t xml:space="preserve"> Ramírez. </w:t>
      </w:r>
      <w:r>
        <w:rPr>
          <w:rFonts w:ascii="Times New Roman" w:cs="Times New Roman" w:hAnsi="Times New Roman"/>
          <w:lang w:val="en-US"/>
        </w:rPr>
        <w:t>Licenciada en Relaciones Internaciones .</w:t>
      </w:r>
      <w:r>
        <w:rPr/>
        <w:fldChar w:fldCharType="begin"/>
      </w:r>
      <w:r>
        <w:rPr>
          <w:lang w:val="en-US"/>
        </w:rPr>
        <w:instrText xml:space="preserve">  Internaciones...  ..   . </w:instrText>
      </w:r>
      <w:r>
        <w:instrText xml:space="preserve">HYPERLINK "mailto:sary0405ramirez@gmail.com" </w:instrText>
      </w:r>
      <w:r>
        <w:rPr/>
        <w:fldChar w:fldCharType="separate"/>
      </w:r>
      <w:r>
        <w:rPr>
          <w:rStyle w:val="style85"/>
          <w:rFonts w:ascii="Times New Roman" w:cs="Times New Roman" w:hAnsi="Times New Roman"/>
        </w:rPr>
        <w:t>sary0405ramirez@gmail.com</w:t>
      </w:r>
      <w:r>
        <w:rPr/>
        <w:fldChar w:fldCharType="end"/>
      </w:r>
      <w:r>
        <w:rPr>
          <w:rFonts w:ascii="Times New Roman" w:cs="Times New Roman" w:hAnsi="Times New Roman"/>
        </w:rPr>
        <w:t xml:space="preserve"> </w:t>
      </w:r>
    </w:p>
    <w:p>
      <w:pPr>
        <w:pStyle w:val="style0"/>
        <w:spacing w:after="0" w:lineRule="auto" w:line="270"/>
        <w:jc w:val="both"/>
        <w:rPr>
          <w:rFonts w:ascii="Times New Roman" w:cs="Times New Roman" w:hAnsi="Times New Roman"/>
        </w:rPr>
      </w:pPr>
      <w:r>
        <w:rPr>
          <w:rFonts w:ascii="Times New Roman" w:cs="Times New Roman" w:hAnsi="Times New Roman"/>
        </w:rPr>
        <w:t xml:space="preserve">Rodrigo Curbelo Guevara.  Estudiante de </w:t>
      </w:r>
      <w:r>
        <w:rPr>
          <w:rFonts w:ascii="Times New Roman" w:cs="Times New Roman" w:hAnsi="Times New Roman"/>
          <w:lang w:val="en-US"/>
        </w:rPr>
        <w:t xml:space="preserve">cuarto </w:t>
      </w:r>
      <w:r>
        <w:rPr>
          <w:rFonts w:ascii="Times New Roman" w:cs="Times New Roman" w:hAnsi="Times New Roman"/>
        </w:rPr>
        <w:t xml:space="preserve">año en la licenciatura en Relaciones Internaciones. Instituto Superior de Relaciones Internacionales ‘’Raúl Roa García’’ </w:t>
      </w:r>
      <w:r>
        <w:rPr/>
        <w:fldChar w:fldCharType="begin"/>
      </w:r>
      <w:r>
        <w:instrText xml:space="preserve"> HYPERLINK "mailto:rodricurbe@gmail.com" </w:instrText>
      </w:r>
      <w:r>
        <w:rPr/>
        <w:fldChar w:fldCharType="separate"/>
      </w:r>
      <w:r>
        <w:rPr>
          <w:rStyle w:val="style85"/>
          <w:rFonts w:ascii="Times New Roman" w:cs="Times New Roman" w:hAnsi="Times New Roman"/>
        </w:rPr>
        <w:t>rodricurbe@gmail.com</w:t>
      </w:r>
      <w:r>
        <w:rPr/>
        <w:fldChar w:fldCharType="end"/>
      </w:r>
    </w:p>
    <w:p>
      <w:pPr>
        <w:pStyle w:val="style0"/>
        <w:spacing w:after="0" w:lineRule="auto" w:line="270"/>
        <w:jc w:val="both"/>
        <w:rPr>
          <w:rFonts w:ascii="Times New Roman" w:cs="Times New Roman" w:hAnsi="Times New Roman"/>
        </w:rPr>
      </w:pPr>
    </w:p>
    <w:p>
      <w:pPr>
        <w:pStyle w:val="style0"/>
        <w:spacing w:after="0" w:lineRule="auto" w:line="270"/>
        <w:jc w:val="both"/>
        <w:rPr>
          <w:rFonts w:ascii="Times New Roman" w:cs="Times New Roman" w:hAnsi="Times New Roman"/>
        </w:rPr>
      </w:pPr>
    </w:p>
    <w:p>
      <w:pPr>
        <w:pStyle w:val="style0"/>
        <w:spacing w:after="0" w:lineRule="auto" w:line="270"/>
        <w:jc w:val="both"/>
        <w:rPr>
          <w:rFonts w:ascii="Times New Roman" w:cs="Times New Roman" w:hAnsi="Times New Roman"/>
          <w:b/>
          <w:bCs/>
        </w:rPr>
      </w:pPr>
      <w:r>
        <w:rPr>
          <w:rFonts w:ascii="Times New Roman" w:cs="Times New Roman" w:hAnsi="Times New Roman"/>
          <w:b/>
          <w:bCs/>
        </w:rPr>
        <w:t>Resumen</w:t>
      </w:r>
    </w:p>
    <w:p>
      <w:pPr>
        <w:pStyle w:val="style0"/>
        <w:spacing w:after="0" w:lineRule="auto" w:line="270"/>
        <w:jc w:val="both"/>
        <w:rPr>
          <w:rFonts w:ascii="Times New Roman" w:cs="Times New Roman" w:hAnsi="Times New Roman"/>
        </w:rPr>
      </w:pPr>
    </w:p>
    <w:p>
      <w:pPr>
        <w:pStyle w:val="style0"/>
        <w:spacing w:after="0" w:lineRule="auto" w:line="240"/>
        <w:jc w:val="both"/>
        <w:rPr>
          <w:rFonts w:ascii="Times New Roman" w:cs="Times New Roman" w:hAnsi="Times New Roman"/>
          <w:lang w:val="es-MX"/>
        </w:rPr>
      </w:pPr>
      <w:r>
        <w:rPr>
          <w:rFonts w:ascii="Times New Roman" w:cs="Times New Roman" w:eastAsia="Arial" w:hAnsi="Times New Roman"/>
          <w:color w:val="252525"/>
        </w:rPr>
        <w:t>El siglo XXI ha consolidado a China como actor central en el escenario global, mediante el fortalecimiento de sus vínculos con América Latina y el Caribe a través de tratados de libre comercio, inversión extranjera directa y cooperación. Esta investigación examina la evolución de la Iniciativa de la Franja y la Ruta en América Latina y el Caribe y caracteriza las relaciones sino-peruanas entre 2019 y 2024, emplea métodos cualitativos como el análisis del discurso y revisión documental. Desde 2019, 22 países</w:t>
      </w:r>
      <w:r>
        <w:rPr>
          <w:rFonts w:ascii="Times New Roman" w:cs="Times New Roman" w:eastAsia="Arial" w:hAnsi="Times New Roman"/>
          <w:color w:val="252525"/>
        </w:rPr>
        <w:t xml:space="preserve"> de la región adheridos a la Iniciativa de la Franja y la Ruta incrementaron un 45% el comercio con China (2019-2023) y promovieron la construcción de infraestructuras, transferencia tecnológica y empleo. En Perú, el Acuerdo de Libre Comercio firmado en 2010 catalizó un crecimiento anual del 8% en intercambios hasta 2023, mientras su incorporación a la Iniciativa en 2019 impulsó megaproyectos como el puerto de Chancay (2023), clave para conectar Sudamérica con Asia-Pacífico. Sin embargo, estos avances coexi</w:t>
      </w:r>
      <w:r>
        <w:rPr>
          <w:rFonts w:ascii="Times New Roman" w:cs="Times New Roman" w:eastAsia="Arial" w:hAnsi="Times New Roman"/>
          <w:color w:val="252525"/>
        </w:rPr>
        <w:t xml:space="preserve">sten con tensiones geopolíticas: la rivalidad  sino-estadounidense se intensifica en sectores como minería y energía, y persisten debates en Perú sobre dependencia económica y la sostenibilidad. La investigación evidencian que la Iniciativa de la Franja y la Ruta redefine la inserción internacional de América Latina y el Caribe y posiciona a China uno de los principales socios económicos de la región. En conclusión, el periodo 2019-2024 ilustra un escenario de competencia estratégica, donde China amplía su </w:t>
      </w:r>
      <w:r>
        <w:rPr>
          <w:rFonts w:ascii="Times New Roman" w:cs="Times New Roman" w:eastAsia="Arial" w:hAnsi="Times New Roman"/>
          <w:color w:val="252525"/>
        </w:rPr>
        <w:t xml:space="preserve">presencia en la región mediante infraestructura, comercio, inversiones y cooperación. </w:t>
      </w:r>
    </w:p>
    <w:p>
      <w:pPr>
        <w:pStyle w:val="style0"/>
        <w:spacing w:after="0" w:lineRule="auto" w:line="240"/>
        <w:jc w:val="both"/>
        <w:rPr>
          <w:rFonts w:ascii="Times New Roman" w:cs="Times New Roman" w:hAnsi="Times New Roman"/>
          <w:lang w:val="es-ES"/>
        </w:rPr>
      </w:pPr>
    </w:p>
    <w:p>
      <w:pPr>
        <w:pStyle w:val="style0"/>
        <w:spacing w:after="0" w:lineRule="auto" w:line="240"/>
        <w:jc w:val="both"/>
        <w:rPr>
          <w:rFonts w:ascii="Times New Roman" w:cs="Times New Roman" w:hAnsi="Times New Roman"/>
          <w:lang w:val="es-MX"/>
        </w:rPr>
      </w:pPr>
      <w:r>
        <w:rPr>
          <w:rFonts w:ascii="Times New Roman" w:cs="Times New Roman" w:hAnsi="Times New Roman"/>
          <w:lang w:val="es-MX"/>
        </w:rPr>
        <w:t xml:space="preserve">Palabras Clave: Iniciativa de la Franja y la Ruta, América Latina y El Caribe, China, Perú. </w:t>
      </w:r>
    </w:p>
    <w:p>
      <w:pPr>
        <w:pStyle w:val="style0"/>
        <w:spacing w:after="0" w:lineRule="auto" w:line="240"/>
        <w:jc w:val="both"/>
        <w:rPr>
          <w:rFonts w:ascii="Times New Roman" w:cs="Times New Roman" w:hAnsi="Times New Roman"/>
          <w:lang w:val="es-MX"/>
        </w:rPr>
      </w:pPr>
    </w:p>
    <w:p>
      <w:pPr>
        <w:pStyle w:val="style0"/>
        <w:spacing w:after="0" w:lineRule="auto" w:line="240"/>
        <w:jc w:val="both"/>
        <w:rPr>
          <w:rFonts w:ascii="Times New Roman" w:cs="Times New Roman" w:hAnsi="Times New Roman"/>
          <w:b/>
          <w:lang w:val="es-MX"/>
        </w:rPr>
      </w:pPr>
    </w:p>
    <w:p>
      <w:pPr>
        <w:pStyle w:val="style0"/>
        <w:spacing w:after="0" w:lineRule="auto" w:line="240"/>
        <w:jc w:val="both"/>
        <w:rPr>
          <w:rFonts w:ascii="Times New Roman" w:cs="Times New Roman" w:hAnsi="Times New Roman"/>
          <w:b/>
          <w:lang w:val="es-MX"/>
        </w:rPr>
      </w:pPr>
    </w:p>
    <w:p>
      <w:pPr>
        <w:pStyle w:val="style0"/>
        <w:spacing w:after="0" w:lineRule="auto" w:line="240"/>
        <w:jc w:val="both"/>
        <w:rPr>
          <w:rFonts w:ascii="Times New Roman" w:cs="Times New Roman" w:hAnsi="Times New Roman"/>
          <w:b/>
          <w:lang w:val="es-MX"/>
        </w:rPr>
      </w:pPr>
    </w:p>
    <w:p>
      <w:pPr>
        <w:pStyle w:val="style0"/>
        <w:spacing w:after="0" w:lineRule="auto" w:line="240"/>
        <w:jc w:val="both"/>
        <w:rPr>
          <w:rFonts w:ascii="Times New Roman" w:cs="Times New Roman" w:hAnsi="Times New Roman"/>
          <w:b/>
          <w:lang w:val="es-MX"/>
        </w:rPr>
      </w:pPr>
    </w:p>
    <w:p>
      <w:pPr>
        <w:pStyle w:val="style0"/>
        <w:spacing w:after="0" w:lineRule="auto" w:line="240"/>
        <w:jc w:val="both"/>
        <w:rPr>
          <w:rFonts w:ascii="Times New Roman" w:cs="Times New Roman" w:hAnsi="Times New Roman"/>
          <w:b/>
          <w:lang w:val="es-MX"/>
        </w:rPr>
      </w:pPr>
    </w:p>
    <w:p>
      <w:pPr>
        <w:pStyle w:val="style0"/>
        <w:spacing w:after="0" w:lineRule="auto" w:line="240"/>
        <w:jc w:val="both"/>
        <w:rPr>
          <w:rFonts w:ascii="Times New Roman" w:cs="Times New Roman" w:hAnsi="Times New Roman"/>
          <w:b/>
          <w:lang w:val="es-MX"/>
        </w:rPr>
      </w:pPr>
    </w:p>
    <w:p>
      <w:pPr>
        <w:pStyle w:val="style0"/>
        <w:spacing w:after="0" w:lineRule="auto" w:line="240"/>
        <w:jc w:val="both"/>
        <w:rPr>
          <w:rFonts w:ascii="Times New Roman" w:cs="Times New Roman" w:hAnsi="Times New Roman"/>
          <w:b/>
          <w:lang w:val="es-MX"/>
        </w:rPr>
      </w:pPr>
    </w:p>
    <w:p>
      <w:pPr>
        <w:pStyle w:val="style0"/>
        <w:spacing w:after="0" w:lineRule="auto" w:line="240"/>
        <w:jc w:val="both"/>
        <w:rPr>
          <w:rFonts w:ascii="Times New Roman" w:cs="Times New Roman" w:hAnsi="Times New Roman"/>
          <w:b/>
          <w:lang w:val="es-MX"/>
        </w:rPr>
      </w:pPr>
    </w:p>
    <w:p>
      <w:pPr>
        <w:pStyle w:val="style0"/>
        <w:spacing w:after="0" w:lineRule="auto" w:line="240"/>
        <w:jc w:val="both"/>
        <w:rPr>
          <w:rFonts w:ascii="Times New Roman" w:cs="Times New Roman" w:hAnsi="Times New Roman"/>
          <w:b/>
          <w:lang w:val="es-MX"/>
        </w:rPr>
      </w:pPr>
    </w:p>
    <w:p>
      <w:pPr>
        <w:pStyle w:val="style0"/>
        <w:spacing w:after="0" w:lineRule="auto" w:line="240"/>
        <w:jc w:val="both"/>
        <w:rPr>
          <w:rFonts w:ascii="Times New Roman" w:cs="Times New Roman" w:hAnsi="Times New Roman"/>
          <w:b/>
          <w:lang w:val="es-MX"/>
        </w:rPr>
      </w:pPr>
    </w:p>
    <w:p>
      <w:pPr>
        <w:pStyle w:val="style0"/>
        <w:spacing w:after="0" w:lineRule="auto" w:line="240"/>
        <w:jc w:val="both"/>
        <w:rPr>
          <w:rFonts w:ascii="Times New Roman" w:cs="Times New Roman" w:hAnsi="Times New Roman"/>
          <w:b/>
          <w:lang w:val="es-MX"/>
        </w:rPr>
      </w:pPr>
      <w:r>
        <w:rPr>
          <w:rFonts w:ascii="Times New Roman" w:cs="Times New Roman" w:hAnsi="Times New Roman"/>
          <w:b/>
          <w:lang w:val="es-MX"/>
        </w:rPr>
        <w:t>Introducción</w:t>
      </w:r>
    </w:p>
    <w:p>
      <w:pPr>
        <w:pStyle w:val="style0"/>
        <w:spacing w:before="240" w:lineRule="auto" w:line="360"/>
        <w:jc w:val="both"/>
        <w:rPr>
          <w:rFonts w:ascii="Times New Roman" w:cs="Times New Roman" w:hAnsi="Times New Roman"/>
          <w:lang w:val="es-MX"/>
        </w:rPr>
      </w:pPr>
      <w:r>
        <w:rPr>
          <w:rFonts w:ascii="Times New Roman" w:cs="Times New Roman" w:hAnsi="Times New Roman"/>
          <w:lang w:val="es-MX"/>
        </w:rPr>
        <w:t xml:space="preserve">Los lazos iniciales entre China y la región de América Latina y el Caribe (ALC) permitieron una influencia cultural marcada en determinadas áreas. La inmigración china contribuyó al fortalecimiento de la identidad cultural regional, así como al desarrollo económico de países </w:t>
      </w:r>
      <w:r>
        <w:rPr>
          <w:rFonts w:ascii="Times New Roman" w:cs="Times New Roman" w:hAnsi="Times New Roman"/>
          <w:lang w:val="es-MX"/>
        </w:rPr>
        <w:t>del área</w:t>
      </w:r>
      <w:r>
        <w:rPr>
          <w:rFonts w:ascii="Times New Roman" w:cs="Times New Roman" w:hAnsi="Times New Roman"/>
          <w:lang w:val="es-MX"/>
        </w:rPr>
        <w:t xml:space="preserve"> (Johnson, 2018).</w:t>
      </w:r>
    </w:p>
    <w:p>
      <w:pPr>
        <w:pStyle w:val="style0"/>
        <w:spacing w:before="240" w:lineRule="auto" w:line="360"/>
        <w:jc w:val="both"/>
        <w:rPr>
          <w:rFonts w:ascii="Times New Roman" w:cs="Times New Roman" w:hAnsi="Times New Roman"/>
          <w:lang w:val="es-MX"/>
        </w:rPr>
      </w:pPr>
      <w:r>
        <w:rPr>
          <w:rFonts w:ascii="Times New Roman" w:cs="Times New Roman" w:hAnsi="Times New Roman"/>
          <w:lang w:val="es-MX"/>
        </w:rPr>
        <w:t xml:space="preserve">Las </w:t>
      </w:r>
      <w:r>
        <w:rPr>
          <w:rFonts w:ascii="Times New Roman" w:cs="Times New Roman" w:hAnsi="Times New Roman"/>
          <w:lang w:val="es-MX"/>
        </w:rPr>
        <w:t xml:space="preserve">relaciones bilaterales de China con América Latina y el Caribe (ALC) en el siglo XXI se han caracterizado por la firma de varios Tratados de Libre Comercio (TLC), así como por la </w:t>
      </w:r>
      <w:r>
        <w:rPr>
          <w:rFonts w:ascii="Times New Roman" w:cs="Times New Roman" w:hAnsi="Times New Roman"/>
          <w:lang w:val="es-MX"/>
        </w:rPr>
        <w:t>inversión extranjera directa (IED) y acuerdos de investigación y desarrollo.</w:t>
      </w:r>
      <w:r>
        <w:rPr>
          <w:rFonts w:ascii="Times New Roman" w:cs="Times New Roman" w:hAnsi="Times New Roman"/>
          <w:lang w:val="es-MX"/>
        </w:rPr>
        <w:t xml:space="preserve"> Esto también se ha potenciado con la incorporación de ALC a la Iniciativa de la Franja y la Ruta</w:t>
      </w:r>
      <w:r>
        <w:rPr>
          <w:rFonts w:ascii="Times New Roman" w:cs="Times New Roman" w:hAnsi="Times New Roman"/>
          <w:lang w:val="es-MX"/>
        </w:rPr>
        <w:t xml:space="preserve"> (IFR)</w:t>
      </w:r>
      <w:r>
        <w:rPr>
          <w:rFonts w:ascii="Times New Roman" w:cs="Times New Roman" w:hAnsi="Times New Roman"/>
          <w:lang w:val="es-MX"/>
        </w:rPr>
        <w:t>. S</w:t>
      </w:r>
      <w:r>
        <w:rPr>
          <w:rFonts w:ascii="Times New Roman" w:cs="Times New Roman" w:hAnsi="Times New Roman"/>
          <w:lang w:val="es-MX"/>
        </w:rPr>
        <w:t>egún Rodríguez Asien (2023), en este periodo, China se convirtió además en el principal proveedor de países sudamericanos como Argentina, Perú, Chile y Brasil, mientras que, proyectado a 2035, el comercio entre China y ALC alcanzará entre un 15% y un 24% del total regional.</w:t>
      </w:r>
    </w:p>
    <w:p>
      <w:pPr>
        <w:pStyle w:val="style0"/>
        <w:spacing w:before="240" w:lineRule="auto" w:line="360"/>
        <w:jc w:val="both"/>
        <w:rPr>
          <w:rFonts w:ascii="Times New Roman" w:cs="Times New Roman" w:hAnsi="Times New Roman"/>
          <w:lang w:val="es-MX"/>
        </w:rPr>
      </w:pPr>
      <w:r>
        <w:rPr>
          <w:rFonts w:ascii="Times New Roman" w:cs="Times New Roman" w:hAnsi="Times New Roman"/>
          <w:lang w:val="es-MX"/>
        </w:rPr>
        <w:t>La actual Iniciativa de la Franja y la Ruta (Belt</w:t>
      </w:r>
      <w:r>
        <w:rPr>
          <w:rFonts w:ascii="Times New Roman" w:cs="Times New Roman" w:hAnsi="Times New Roman"/>
          <w:lang w:val="es-MX"/>
        </w:rPr>
        <w:t xml:space="preserve"> and Road </w:t>
      </w:r>
      <w:r>
        <w:rPr>
          <w:rFonts w:ascii="Times New Roman" w:cs="Times New Roman" w:hAnsi="Times New Roman"/>
          <w:lang w:val="es-MX"/>
        </w:rPr>
        <w:t>Initiative</w:t>
      </w:r>
      <w:r>
        <w:rPr>
          <w:rFonts w:ascii="Times New Roman" w:cs="Times New Roman" w:hAnsi="Times New Roman"/>
          <w:lang w:val="es-MX"/>
        </w:rPr>
        <w:t>, BRI</w:t>
      </w:r>
      <w:r>
        <w:rPr>
          <w:rFonts w:ascii="Times New Roman" w:cs="Times New Roman" w:hAnsi="Times New Roman"/>
          <w:lang w:val="es-MX"/>
        </w:rPr>
        <w:t xml:space="preserve"> por sus siglas en inglés) ha permitido, en los últimos 10 años, crear infraestructuras en otros países, lo c</w:t>
      </w:r>
      <w:r>
        <w:rPr>
          <w:rFonts w:ascii="Times New Roman" w:cs="Times New Roman" w:hAnsi="Times New Roman"/>
          <w:lang w:val="es-MX"/>
        </w:rPr>
        <w:t>ual beneficia a las economías nacionales, genera empleo, beneficia a la población y permite una mayor interconexión de China con el resto del mundo. S</w:t>
      </w:r>
      <w:r>
        <w:rPr>
          <w:rFonts w:ascii="Times New Roman" w:cs="Times New Roman" w:hAnsi="Times New Roman"/>
          <w:lang w:val="es-MX"/>
        </w:rPr>
        <w:t>i bien es mundialmente conocida por su enfoque principalmente económico, también comprende otras aristas, tales como la cultura, el medio ambiente y la tecnología digital.</w:t>
      </w:r>
    </w:p>
    <w:p>
      <w:pPr>
        <w:pStyle w:val="style0"/>
        <w:spacing w:before="240" w:lineRule="auto" w:line="360"/>
        <w:jc w:val="both"/>
        <w:rPr>
          <w:rFonts w:ascii="Times New Roman" w:cs="Times New Roman" w:hAnsi="Times New Roman"/>
          <w:lang w:val="es-MX"/>
        </w:rPr>
      </w:pPr>
      <w:r>
        <w:rPr>
          <w:rFonts w:ascii="Times New Roman" w:cs="Times New Roman" w:hAnsi="Times New Roman"/>
          <w:lang w:val="es-MX"/>
        </w:rPr>
        <w:t xml:space="preserve">Desde 2013, la Iniciativa se convirtió en el proyecto chino más consolidado en materia de política exterior. Aunque la construcción de una comunidad de futuro compartido entre China y ALC no solo engloba la </w:t>
      </w:r>
      <w:r>
        <w:rPr>
          <w:rFonts w:ascii="Times New Roman" w:cs="Times New Roman" w:hAnsi="Times New Roman"/>
          <w:lang w:val="es-MX"/>
        </w:rPr>
        <w:t>IFR</w:t>
      </w:r>
      <w:r>
        <w:rPr>
          <w:rFonts w:ascii="Times New Roman" w:cs="Times New Roman" w:hAnsi="Times New Roman"/>
          <w:lang w:val="es-MX"/>
        </w:rPr>
        <w:t>, también se proyecta por medio de la Iniciativa de Seguridad Global, la Iniciativa de Desarrollo Global y la Iniciativa de Civilización Global. En este contexto, la BRI presenta retos y desafíos en su aplicación, en relación con la economía mundial, el nivel de desarrollo de los países, el sistema político, el terrorismo, la gestión de la deuda y la protección del medio ambiente.</w:t>
      </w:r>
    </w:p>
    <w:p>
      <w:pPr>
        <w:pStyle w:val="style0"/>
        <w:spacing w:before="240" w:lineRule="auto" w:line="360"/>
        <w:jc w:val="both"/>
        <w:rPr>
          <w:rFonts w:ascii="Times New Roman" w:cs="Times New Roman" w:hAnsi="Times New Roman"/>
          <w:lang w:val="es-MX"/>
        </w:rPr>
      </w:pPr>
      <w:r>
        <w:rPr>
          <w:rFonts w:ascii="Times New Roman" w:cs="Times New Roman" w:hAnsi="Times New Roman"/>
          <w:lang w:val="es-MX"/>
        </w:rPr>
        <w:t xml:space="preserve">Durante las últimas décadas, la </w:t>
      </w:r>
      <w:r>
        <w:rPr>
          <w:rFonts w:ascii="Times New Roman" w:cs="Times New Roman" w:hAnsi="Times New Roman"/>
          <w:lang w:val="es-MX"/>
        </w:rPr>
        <w:t>relación bilateral entre la República Popular China y la República del Perú ha evidenciado una trayectoria de progresiva intensificación y expansión estructural, manifestándose con particular relieve en las esferas de la economía, el comercio y la concertación polític</w:t>
      </w:r>
      <w:r>
        <w:rPr>
          <w:rFonts w:ascii="Times New Roman" w:cs="Times New Roman" w:hAnsi="Times New Roman"/>
          <w:lang w:val="es-MX"/>
        </w:rPr>
        <w:t>a. La formalización de sus lazos diplomáticos en 19</w:t>
      </w:r>
      <w:r>
        <w:rPr>
          <w:rFonts w:ascii="Times New Roman" w:cs="Times New Roman" w:hAnsi="Times New Roman"/>
          <w:lang w:val="es-MX"/>
        </w:rPr>
        <w:t xml:space="preserve">71 </w:t>
      </w:r>
      <w:r>
        <w:rPr>
          <w:rFonts w:ascii="Times New Roman" w:cs="Times New Roman" w:hAnsi="Times New Roman"/>
          <w:lang w:val="es-MX"/>
        </w:rPr>
        <w:t xml:space="preserve">sentó las bases para una cooperación que, en 2013, fue elevada al rango de Asociación Estratégica Integral, </w:t>
      </w:r>
      <w:r>
        <w:rPr>
          <w:rFonts w:ascii="Times New Roman" w:cs="Times New Roman" w:hAnsi="Times New Roman"/>
          <w:lang w:val="es-MX"/>
        </w:rPr>
        <w:t>una designación que subraya la valoración recíproca de su interdependencia y poten</w:t>
      </w:r>
      <w:r>
        <w:rPr>
          <w:rFonts w:ascii="Times New Roman" w:cs="Times New Roman" w:hAnsi="Times New Roman"/>
          <w:lang w:val="es-MX"/>
        </w:rPr>
        <w:t xml:space="preserve">cial colaborativo (Ministerio de Relaciones Exteriores del Perú, s.f.). </w:t>
      </w:r>
    </w:p>
    <w:p>
      <w:pPr>
        <w:pStyle w:val="style0"/>
        <w:spacing w:before="240" w:lineRule="auto" w:line="360"/>
        <w:jc w:val="both"/>
        <w:rPr>
          <w:rFonts w:ascii="Times New Roman" w:cs="Times New Roman" w:hAnsi="Times New Roman"/>
          <w:lang w:val="es-MX"/>
        </w:rPr>
      </w:pPr>
      <w:r>
        <w:rPr>
          <w:rFonts w:ascii="Times New Roman" w:cs="Times New Roman" w:hAnsi="Times New Roman"/>
          <w:lang w:val="es-MX"/>
        </w:rPr>
        <w:t>En la dimensión económica, China se ha erigido como el socio comercial preponderante de Perú. E</w:t>
      </w:r>
      <w:r>
        <w:rPr>
          <w:rFonts w:ascii="Times New Roman" w:cs="Times New Roman" w:hAnsi="Times New Roman"/>
          <w:lang w:val="es-MX"/>
        </w:rPr>
        <w:t>sta relación se materializa en un flujo comercial donde Perú figura como un proveedor clave de materias primas, notablemente minerales, mientras que China se constituye como una fuente fundamental de bienes manufacturados y de capital, ilustrando una dinámica de complementariedad económica (Embajada de la República Popular China en la República del Perú, 2023). Paralelamente a los intercambios comerciales, los flujos de inversión directa china hacia</w:t>
      </w:r>
      <w:r>
        <w:rPr>
          <w:rFonts w:ascii="Times New Roman" w:cs="Times New Roman" w:hAnsi="Times New Roman"/>
          <w:lang w:val="es-MX"/>
        </w:rPr>
        <w:t xml:space="preserve"> Perú han registrado una expansión notable, orientándose ha</w:t>
      </w:r>
      <w:r>
        <w:rPr>
          <w:rFonts w:ascii="Times New Roman" w:cs="Times New Roman" w:hAnsi="Times New Roman"/>
          <w:lang w:val="es-MX"/>
        </w:rPr>
        <w:t>cia sectores estratégicos para el desarrollo peruano, tales como la minería, energía, infraestructura y telecomunicaciones. Este fenómeno inversor ha sido parcialmente catalizado por la incorporación de Perú a la Iniciativa de la Franja y la Ruta, un proyecto de conectividad de alcance global (Xinhua Español, 2024).</w:t>
      </w:r>
    </w:p>
    <w:p>
      <w:pPr>
        <w:pStyle w:val="style0"/>
        <w:spacing w:before="240" w:lineRule="auto" w:line="360"/>
        <w:jc w:val="both"/>
        <w:rPr>
          <w:rFonts w:ascii="Times New Roman" w:cs="Times New Roman" w:hAnsi="Times New Roman"/>
          <w:lang w:val="es-MX"/>
        </w:rPr>
      </w:pPr>
      <w:r>
        <w:rPr>
          <w:rFonts w:ascii="Times New Roman" w:cs="Times New Roman" w:hAnsi="Times New Roman"/>
          <w:lang w:val="es-MX"/>
        </w:rPr>
        <w:t xml:space="preserve">En la consolidación de la cooperación económica sino-peruana, destaca la materialización del </w:t>
      </w:r>
      <w:r>
        <w:rPr>
          <w:rFonts w:ascii="Times New Roman" w:cs="Times New Roman" w:hAnsi="Times New Roman"/>
          <w:lang w:val="es-MX"/>
        </w:rPr>
        <w:t>puerto de Chancay como un impulso para el comercio de China, no solo con los países de América del Sur, sino con la región en general. Se prevé que esto reduzca el tiempo de tránsito marítimo de Perú</w:t>
      </w:r>
      <w:r>
        <w:rPr>
          <w:rFonts w:ascii="Times New Roman" w:cs="Times New Roman" w:hAnsi="Times New Roman"/>
          <w:lang w:val="es-MX"/>
        </w:rPr>
        <w:t xml:space="preserve"> hacia China a quince días (Bogado Bordazar &amp; Schulz, 2025, p. 350). Sin embargo, el puerto no está exento de retos, vinculados no solo al panorama político en ese país, sino también a las limitaciones que este impondrá sobre otras rutas comerciales en el área cuando finalice su construcción.</w:t>
      </w:r>
    </w:p>
    <w:p>
      <w:pPr>
        <w:pStyle w:val="style0"/>
        <w:spacing w:before="240" w:lineRule="auto" w:line="360"/>
        <w:jc w:val="both"/>
        <w:rPr>
          <w:rFonts w:ascii="Times New Roman" w:cs="Times New Roman" w:hAnsi="Times New Roman"/>
          <w:lang w:val="es-MX"/>
        </w:rPr>
      </w:pPr>
      <w:r>
        <w:rPr>
          <w:rFonts w:ascii="Times New Roman" w:cs="Times New Roman" w:hAnsi="Times New Roman"/>
          <w:lang w:val="es-MX"/>
        </w:rPr>
        <w:t>La participación de Perú en la IFR se basa en fortalezas estructurales que colocan al país como un socio clave para China en Sudamérica. Su riqueza en recursos minerales estratégicos, y en particular su posición como tercer productor mundial de cobre, es fundamental.</w:t>
      </w:r>
    </w:p>
    <w:p>
      <w:pPr>
        <w:pStyle w:val="style0"/>
        <w:spacing w:before="240" w:lineRule="auto" w:line="360"/>
        <w:jc w:val="both"/>
        <w:rPr>
          <w:rFonts w:ascii="Times New Roman" w:cs="Times New Roman" w:hAnsi="Times New Roman"/>
          <w:lang w:val="es-MX"/>
        </w:rPr>
      </w:pPr>
      <w:r>
        <w:rPr>
          <w:rFonts w:ascii="Times New Roman" w:cs="Times New Roman" w:hAnsi="Times New Roman"/>
          <w:lang w:val="es-MX"/>
        </w:rPr>
        <w:t>Objetivo general: Analizar la evolución de la Iniciativa de la Franja y la Ruta en América Latina y el Caribe</w:t>
      </w:r>
    </w:p>
    <w:p>
      <w:pPr>
        <w:pStyle w:val="style0"/>
        <w:spacing w:before="240" w:lineRule="auto" w:line="360"/>
        <w:jc w:val="both"/>
        <w:rPr>
          <w:rFonts w:ascii="Times New Roman" w:cs="Times New Roman" w:hAnsi="Times New Roman"/>
          <w:lang w:val="es-MX"/>
        </w:rPr>
      </w:pPr>
      <w:r>
        <w:rPr>
          <w:rFonts w:ascii="Times New Roman" w:cs="Times New Roman" w:hAnsi="Times New Roman"/>
          <w:lang w:val="es-MX"/>
        </w:rPr>
        <w:t>Objetivo específico: Caracterizar las relaciones bilaterales sino-perunas en el marco de la Iniciativa de la Franja y la Ruta en el periodo 2019-2024.</w:t>
      </w:r>
    </w:p>
    <w:p>
      <w:pPr>
        <w:pStyle w:val="style0"/>
        <w:spacing w:before="240" w:lineRule="auto" w:line="360"/>
        <w:jc w:val="both"/>
        <w:rPr>
          <w:rFonts w:ascii="Times New Roman" w:cs="Times New Roman" w:eastAsia="Times New Roman" w:hAnsi="Times New Roman"/>
          <w:b/>
          <w:lang w:val="es-ES" w:eastAsia="es-ES"/>
        </w:rPr>
      </w:pPr>
      <w:r>
        <w:rPr>
          <w:rFonts w:ascii="Times New Roman" w:cs="Times New Roman" w:eastAsia="Times New Roman" w:hAnsi="Times New Roman"/>
          <w:b/>
          <w:lang w:val="es-ES" w:eastAsia="es-ES"/>
        </w:rPr>
        <w:t>Desarrollo</w:t>
      </w:r>
    </w:p>
    <w:p>
      <w:pPr>
        <w:pStyle w:val="style0"/>
        <w:spacing w:before="240" w:lineRule="auto" w:line="360"/>
        <w:jc w:val="both"/>
        <w:rPr>
          <w:rFonts w:ascii="Times New Roman" w:cs="Times New Roman" w:eastAsia="Times New Roman" w:hAnsi="Times New Roman"/>
          <w:b/>
          <w:lang w:val="es-ES" w:eastAsia="es-ES"/>
        </w:rPr>
      </w:pPr>
      <w:r>
        <w:rPr>
          <w:rFonts w:ascii="Times New Roman" w:cs="Times New Roman" w:eastAsia="Times New Roman" w:hAnsi="Times New Roman"/>
          <w:b/>
          <w:lang w:val="es-ES" w:eastAsia="es-ES"/>
        </w:rPr>
        <w:t xml:space="preserve">Evolución de la Iniciativa de la Franja y la Ruta en América Latina. </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El</w:t>
      </w:r>
      <w:r>
        <w:rPr>
          <w:rFonts w:ascii="Times New Roman" w:cs="Times New Roman" w:eastAsia="Times New Roman" w:hAnsi="Times New Roman"/>
          <w:lang w:val="es-ES" w:eastAsia="es-ES"/>
        </w:rPr>
        <w:t xml:space="preserve"> crecimiento económico de China ha impulsado la ampliación de sus relaciones comerciales y financieras con diversos países, incluyendo los pertenecientes a la región de América Latina y el Caribe. Su incorporación a la Organización Mundial del Comercio (OMC) en 2001 representó su plena integración a las dinámicas del comercio mundial a inicios del siglo </w:t>
      </w:r>
      <w:r>
        <w:rPr>
          <w:rFonts w:ascii="Times New Roman" w:cs="Times New Roman" w:eastAsia="Times New Roman" w:hAnsi="Times New Roman"/>
          <w:lang w:val="es-ES" w:eastAsia="es-ES"/>
        </w:rPr>
        <w:t>XXI. Posteriormente, tanto en ese año como durante la visita de Hu Jintao a la región en 2004, se fortalecieron los lazos mediante acuerdos comerciales y de</w:t>
      </w:r>
      <w:r>
        <w:rPr>
          <w:rFonts w:ascii="Times New Roman" w:cs="Times New Roman" w:eastAsia="Times New Roman" w:hAnsi="Times New Roman"/>
          <w:lang w:val="es-ES" w:eastAsia="es-ES"/>
        </w:rPr>
        <w:t xml:space="preserve"> inversión (Medeiros &amp; Cintra, 2015, citado en Lopes Afonso et al., 2021). Ejem</w:t>
      </w:r>
      <w:r>
        <w:rPr>
          <w:rFonts w:ascii="Times New Roman" w:cs="Times New Roman" w:eastAsia="Times New Roman" w:hAnsi="Times New Roman"/>
          <w:lang w:val="es-ES" w:eastAsia="es-ES"/>
        </w:rPr>
        <w:t xml:space="preserve">plos del acercamiento de China con diferentes organismos regionales de América Latina y el Caribe incluyen los Diálogos China-Mercado Común del Sur (MERCOSUR), el Mecanismo de Consulta China-Comunidad Andina (CAN) y, posteriormente, el Foro China-Comunidad de Estados Latinoamericanos y Caribeños (CELAC). </w:t>
      </w:r>
      <w:r>
        <w:rPr>
          <w:rFonts w:ascii="Times New Roman" w:cs="Times New Roman" w:eastAsia="Times New Roman" w:hAnsi="Times New Roman"/>
          <w:lang w:val="es-ES" w:eastAsia="es-ES"/>
        </w:rPr>
        <w:t>Sin embargo, los resultados no siempre han sido igualmente fructíferos para todas las partes, principalmente debido a las difer</w:t>
      </w:r>
      <w:r>
        <w:rPr>
          <w:rFonts w:ascii="Times New Roman" w:cs="Times New Roman" w:eastAsia="Times New Roman" w:hAnsi="Times New Roman"/>
          <w:lang w:val="es-ES" w:eastAsia="es-ES"/>
        </w:rPr>
        <w:t>encias políticas asociadas a los cambios de gobierno y su influencia en los organismos regionales, así como a la falta de consenso respecto al avance de la cooperación con Ch</w:t>
      </w:r>
      <w:r>
        <w:rPr>
          <w:rFonts w:ascii="Times New Roman" w:cs="Times New Roman" w:eastAsia="Times New Roman" w:hAnsi="Times New Roman"/>
          <w:lang w:val="es-ES" w:eastAsia="es-ES"/>
        </w:rPr>
        <w:t>ina.</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 xml:space="preserve">Tanto en 2008 como en 2016, China publicó libros blancos que denotan su interés hacia ALC y las oportunidades de </w:t>
      </w:r>
      <w:r>
        <w:rPr>
          <w:rFonts w:ascii="Times New Roman" w:cs="Times New Roman" w:eastAsia="Times New Roman" w:hAnsi="Times New Roman"/>
          <w:lang w:val="es-ES" w:eastAsia="es-ES"/>
        </w:rPr>
        <w:t>cooperación y acercamiento. En el primero, se planteó la Asociación de Cooperación Integral China-ALC, mientras que en el segundo, se expresó la intención de afianzar dicha asociación de cooperación mediante el Foro China-CELAC</w:t>
      </w:r>
      <w:r>
        <w:rPr>
          <w:rFonts w:ascii="Times New Roman" w:cs="Times New Roman" w:eastAsia="Times New Roman" w:hAnsi="Times New Roman"/>
          <w:lang w:val="es-ES" w:eastAsia="es-ES"/>
        </w:rPr>
        <w:t xml:space="preserve"> (Osterloh Mejía, 2018).</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El XVIII Congreso del Partido Comunista Chino (PCCh) resultó en la elección del actual presidente de la República Popular China como secretario general del PCCh. En 2</w:t>
      </w:r>
      <w:r>
        <w:rPr>
          <w:rFonts w:ascii="Times New Roman" w:cs="Times New Roman" w:eastAsia="Times New Roman" w:hAnsi="Times New Roman"/>
          <w:lang w:val="es-ES" w:eastAsia="es-ES"/>
        </w:rPr>
        <w:t xml:space="preserve">013, Xi Jinping propuso la construcción de la Franja Económica de la Ruta de la Seda y la Ruta Marítima de la Seda del siglo XXI, que constituyen las principales áreas de expansión de </w:t>
      </w:r>
      <w:r>
        <w:rPr>
          <w:rFonts w:ascii="Times New Roman" w:cs="Times New Roman" w:eastAsia="Times New Roman" w:hAnsi="Times New Roman"/>
          <w:lang w:val="es-ES" w:eastAsia="es-ES"/>
        </w:rPr>
        <w:t>este proyecto (Oficina del Grupo Dirigente para el Fomento de la Construcción de la Franja y la Ruta, 2019).</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En sus inicios, la Iniciativa solo incluía a los países de Asia</w:t>
      </w:r>
      <w:r>
        <w:rPr>
          <w:rFonts w:ascii="Times New Roman" w:cs="Times New Roman" w:eastAsia="Times New Roman" w:hAnsi="Times New Roman"/>
          <w:lang w:val="es-ES" w:eastAsia="es-ES"/>
        </w:rPr>
        <w:t xml:space="preserve"> y Europa. Esto quedó reflejado en el documento Visión y acciones para la construcción conjunta del Cinturón Económico de la Ruta de la Seda y la Ruta de la Seda Marítima del siglo XXI (2015), aunque también posibilita la incorporación de otros países interesados. Por ello, menciona que la Iniciativa </w:t>
      </w:r>
      <w:r>
        <w:rPr>
          <w:rFonts w:ascii="Times New Roman" w:cs="Times New Roman" w:eastAsia="Times New Roman" w:hAnsi="Times New Roman"/>
          <w:lang w:val="es-ES" w:eastAsia="es-ES"/>
        </w:rPr>
        <w:t>“</w:t>
      </w:r>
      <w:r>
        <w:rPr>
          <w:rFonts w:ascii="Times New Roman" w:cs="Times New Roman" w:eastAsia="Times New Roman" w:hAnsi="Times New Roman"/>
          <w:lang w:val="es-ES" w:eastAsia="es-ES"/>
        </w:rPr>
        <w:t>está abierta a la participación de todos los países y organizaciones internacionales y regionales, con el fin de lograr beneficios más amplios</w:t>
      </w:r>
      <w:r>
        <w:rPr>
          <w:rFonts w:ascii="Times New Roman" w:cs="Times New Roman" w:eastAsia="Times New Roman" w:hAnsi="Times New Roman"/>
          <w:lang w:val="es-ES" w:eastAsia="es-ES"/>
        </w:rPr>
        <w:t>”</w:t>
      </w:r>
      <w:r>
        <w:rPr>
          <w:rFonts w:ascii="Times New Roman" w:cs="Times New Roman" w:eastAsia="Times New Roman" w:hAnsi="Times New Roman"/>
          <w:lang w:val="es-ES" w:eastAsia="es-ES"/>
        </w:rPr>
        <w:t>. Asimismo, su objetivo es promover la conectividad entre los territorios y mares adyacentes, establecer redes de conectividad multidimensional y lograr un desarrollo diversificado.</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Hasta la fecha, la Iniciativa de la Franja y la Ruta ha celebrado tres foros de alto nivel, los cuales han estado acompañados por visitas de mandatarios de todo el mundo a China para celebrar el avance de este megaproyecto. Hasta junio de 2023, China había firm</w:t>
      </w:r>
      <w:r>
        <w:rPr>
          <w:rFonts w:ascii="Times New Roman" w:cs="Times New Roman" w:eastAsia="Times New Roman" w:hAnsi="Times New Roman"/>
          <w:lang w:val="es-ES" w:eastAsia="es-ES"/>
        </w:rPr>
        <w:t>ado más de 200 acuerdos de cooperación con alrededor de 150 países y 30 organizaciones internacion</w:t>
      </w:r>
      <w:r>
        <w:rPr>
          <w:rFonts w:ascii="Times New Roman" w:cs="Times New Roman" w:eastAsia="Times New Roman" w:hAnsi="Times New Roman"/>
          <w:lang w:val="es-ES" w:eastAsia="es-ES"/>
        </w:rPr>
        <w:t>ales (Lyu, 2023).</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 xml:space="preserve">Aunque inicialmente ALC no estaba incluida en la IFR, posteriormente los países de la región fueron invitados a participar. Según Huang (2024), </w:t>
      </w:r>
      <w:r>
        <w:rPr>
          <w:rFonts w:ascii="Times New Roman" w:cs="Times New Roman" w:eastAsia="Times New Roman" w:hAnsi="Times New Roman"/>
          <w:lang w:val="es-ES" w:eastAsia="es-ES"/>
        </w:rPr>
        <w:t>“</w:t>
      </w:r>
      <w:r>
        <w:rPr>
          <w:rFonts w:ascii="Times New Roman" w:cs="Times New Roman" w:eastAsia="Times New Roman" w:hAnsi="Times New Roman"/>
          <w:lang w:val="es-ES" w:eastAsia="es-ES"/>
        </w:rPr>
        <w:t>En 2018, China invitó oficialmente a los países latinoamericanos a unirse voluntariamente a la IFR, al considerarla una extensión natural de la Ruta de la Seda Marítima y participantes indispensables de la cooperación internacional en el marco de la IFR</w:t>
      </w:r>
      <w:r>
        <w:rPr>
          <w:rFonts w:ascii="Times New Roman" w:cs="Times New Roman" w:eastAsia="Times New Roman" w:hAnsi="Times New Roman"/>
          <w:lang w:val="es-ES" w:eastAsia="es-ES"/>
        </w:rPr>
        <w:t>”</w:t>
      </w:r>
      <w:r>
        <w:rPr>
          <w:rFonts w:ascii="Times New Roman" w:cs="Times New Roman" w:eastAsia="Times New Roman" w:hAnsi="Times New Roman"/>
          <w:lang w:val="es-ES" w:eastAsia="es-ES"/>
        </w:rPr>
        <w:t xml:space="preserve"> (pp. 138-14</w:t>
      </w:r>
      <w:r>
        <w:rPr>
          <w:rFonts w:ascii="Times New Roman" w:cs="Times New Roman" w:eastAsia="Times New Roman" w:hAnsi="Times New Roman"/>
          <w:lang w:val="es-ES" w:eastAsia="es-ES"/>
        </w:rPr>
        <w:t>0). Sin embargo, las condiciones endógenas de la región –como el bajo crecimiento económico (que se mantiene en niveles muy bajos), la inestabilidad política en algunos países y el retroceso en la integración regional– son elementos que han influido en la cooperación con China.</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El aumento de la presencia de China en América Latina y el Caribe es resultado, en primera instancia, del crecimiento económico chino desde el siglo XX hasta la actualidad. En consecuencia, este crecimiento le ha permitido, mediante la política, expandir sus relaciones bilaterales y multilaterales con los países de la región. Sin em</w:t>
      </w:r>
      <w:r>
        <w:rPr>
          <w:rFonts w:ascii="Times New Roman" w:cs="Times New Roman" w:eastAsia="Times New Roman" w:hAnsi="Times New Roman"/>
          <w:lang w:val="es-ES" w:eastAsia="es-ES"/>
        </w:rPr>
        <w:t xml:space="preserve">bargo, para otros actores como Estados Unidos y la Unión Europea, la consolidación de las inversiones chinas y una presencia más activa en la región representan un motivo de alarma en el </w:t>
      </w:r>
      <w:r>
        <w:rPr>
          <w:rFonts w:ascii="Times New Roman" w:cs="Times New Roman" w:eastAsia="Times New Roman" w:hAnsi="Times New Roman"/>
          <w:lang w:val="es-ES" w:eastAsia="es-ES"/>
        </w:rPr>
        <w:t>terreno geopolítico. Para China, América Latina constituye un enclave estratégico de gran importancia. De ahí que las autoridades de Beijing estén estableciendo una serie de acuerdos con los diferentes bloques regionales o con naciones de forma individual, basados en el bien común y la cooperación Sur-Su</w:t>
      </w:r>
      <w:r>
        <w:rPr>
          <w:rFonts w:ascii="Times New Roman" w:cs="Times New Roman" w:eastAsia="Times New Roman" w:hAnsi="Times New Roman"/>
          <w:lang w:val="es-ES" w:eastAsia="es-ES"/>
        </w:rPr>
        <w:t>r (Luo, 2023).</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Desde la CEPAL, se identifican tres áreas en las que se necesita una transformación productiva urgente en ALC. La primera es el bajo crecimiento, que representa un promedio por debajo del 1% (0,8%) entre 2014 y 2023. La segunda área implica una trampa de alta desigualdad, baja movilidad social y baja cohesión social, mientras que la tercera representa una baja capacidad institucional y una limitada efectividad para buscar estrategias que a largo plazo permitan revertir la situación actual (Salazar-Xirinachs</w:t>
      </w:r>
      <w:r>
        <w:rPr>
          <w:rFonts w:ascii="Times New Roman" w:cs="Times New Roman" w:eastAsia="Times New Roman" w:hAnsi="Times New Roman"/>
          <w:lang w:val="es-ES" w:eastAsia="es-ES"/>
        </w:rPr>
        <w:t xml:space="preserve">, 2024). En este contexto, la </w:t>
      </w:r>
      <w:r>
        <w:rPr>
          <w:rFonts w:ascii="Times New Roman" w:cs="Times New Roman" w:eastAsia="Times New Roman" w:hAnsi="Times New Roman"/>
          <w:lang w:val="es-ES" w:eastAsia="es-ES"/>
        </w:rPr>
        <w:t>IFR</w:t>
      </w:r>
      <w:r>
        <w:rPr>
          <w:rFonts w:ascii="Times New Roman" w:cs="Times New Roman" w:eastAsia="Times New Roman" w:hAnsi="Times New Roman"/>
          <w:lang w:val="es-ES" w:eastAsia="es-ES"/>
        </w:rPr>
        <w:t xml:space="preserve"> representa una oportunidad para contribuir a revertir esta situación en ALC, al impulsar políticas que promuevan el desarrollo productivo, el acceso a nuevas tecnologías e inversión.</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Asimis</w:t>
      </w:r>
      <w:r>
        <w:rPr>
          <w:rFonts w:ascii="Times New Roman" w:cs="Times New Roman" w:eastAsia="Times New Roman" w:hAnsi="Times New Roman"/>
          <w:lang w:val="es-ES" w:eastAsia="es-ES"/>
        </w:rPr>
        <w:t>mo, en cuanto a la evolución de las exportaciones, en América Latina el patrón comercial se ha especializado en materias primas de bajo valor agregado, con escasa modernización o modificación en las últimas décadas, mientras que China ha transitado desde la exportación de productos de bajo costo a la de manufacturas de alto valor agrega</w:t>
      </w:r>
      <w:r>
        <w:rPr>
          <w:rFonts w:ascii="Times New Roman" w:cs="Times New Roman" w:eastAsia="Times New Roman" w:hAnsi="Times New Roman"/>
          <w:lang w:val="es-ES" w:eastAsia="es-ES"/>
        </w:rPr>
        <w:t>do (Cortés Rondoy, 2022). En este sentido, Huang (2024) identifica dos acciones fundamentales que explican el aumento del comercio sino-latinoamericano: la demanda de product</w:t>
      </w:r>
      <w:r>
        <w:rPr>
          <w:rFonts w:ascii="Times New Roman" w:cs="Times New Roman" w:eastAsia="Times New Roman" w:hAnsi="Times New Roman"/>
          <w:lang w:val="es-ES" w:eastAsia="es-ES"/>
        </w:rPr>
        <w:t>os primarios y materias primas por parte de China y el amplio mercado que representa ALC, así como la diversificación de socios comerciales y mercados que impulsen la cooperación internacional en favor de la región.</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China ha firmado acuerdos de libre comercio con Chile, Perú, Costa Rica, Nicaragua, Ecuador y Honduras. Como resultado, en 2022 el intercambio bilateral se acercó a los 500 mil millones de dólares, lo que representa 35 veces su valor respecto de 2000. Esto ha convertido a China en el principal mercado de exportación de América del Sur, mientras que para la región en su conjunto, ocupa el cuarto lugar. Asimismo, hasta 2021 se habían construido 191 proyectos de infraestructura, lo cual ha contribuido a la cre</w:t>
      </w:r>
      <w:r>
        <w:rPr>
          <w:rFonts w:ascii="Times New Roman" w:cs="Times New Roman" w:eastAsia="Times New Roman" w:hAnsi="Times New Roman"/>
          <w:lang w:val="es-ES" w:eastAsia="es-ES"/>
        </w:rPr>
        <w:t>ación de empleo (Salazar-Xirinachs, 2024).</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Según la información proporcionada por Bogado Bordazar &amp; Schulz (2025), hasta la fecha (julio de 2024), los veintidós países de ALC que han firmado el memorándum de entendimiento de la Iniciativa de la Franja y la Ruta son: Panamá (diciembre de 2017), Trinidad y Tobago, Surinam (mayo de 2018), Antigua y Barbuda, Bolivia (junio de 2018), Dominica, Guyana (julio de 2018), Uruguay (agosto de 2018), Venezuela, Costa Rica, Granada (septiembre de 2018), Chile, República Dominicana, Cuba, El Salvador (noviembre de</w:t>
      </w:r>
      <w:r>
        <w:rPr>
          <w:rFonts w:ascii="Times New Roman" w:cs="Times New Roman" w:eastAsia="Times New Roman" w:hAnsi="Times New Roman"/>
          <w:lang w:val="es-ES" w:eastAsia="es-ES"/>
        </w:rPr>
        <w:t xml:space="preserve"> 2018), Ecuador (diciembre de 2018), Barbados (febrero de 2019), Jamaica y Perú (abril de 2019), Argentina (2022), Nicaragua (2022) y Honduras (2023).</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China ha realizado varias inversiones significativas de carácter estratégico en ALC por medio de la IFR. Entre ellas destacan el puerto multipropósito de Chancay en Perú, las represas hidroeléctricas Néstor Kirchner y Jorge Cepernic en Argentina, la Central Hidroeléctrica Coca Codo Sinclair en Ecuador, y la instalación de tecnología 5G en Brasil. En contraste, en los países andinos, las inversiones en infraestructuras han sido principalmente de tipo vial, eléctrico, saneamiento y ferroviario, así como en pe</w:t>
      </w:r>
      <w:r>
        <w:rPr>
          <w:rFonts w:ascii="Times New Roman" w:cs="Times New Roman" w:eastAsia="Times New Roman" w:hAnsi="Times New Roman"/>
          <w:lang w:val="es-ES" w:eastAsia="es-ES"/>
        </w:rPr>
        <w:t>tróleo y minería, totalizando más de $46 mil millones en 147 proyectos entre 2000 y 2023 (Bogado Bordazar &amp; Schulz, 2025).</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Las dif</w:t>
      </w:r>
      <w:r>
        <w:rPr>
          <w:rFonts w:ascii="Times New Roman" w:cs="Times New Roman" w:eastAsia="Times New Roman" w:hAnsi="Times New Roman"/>
          <w:lang w:val="es-ES" w:eastAsia="es-ES"/>
        </w:rPr>
        <w:t>erencias a nivel internacional entre China y Estados Unidos se manifiestan con particular énfasis en América Latina y el Caribe. Aunque hasta el momento las inversiones chinas, realizadas a través de sus empresas, han sido bien recibidas por su impacto en la economía local (mediante infraestructuras con tecnología más actualizada, la generación de empleo y oportunidades de mejora en la calidad de vida), esto beneficia no solo a las personas directamente involucradas en los procesos de construcción, sino tam</w:t>
      </w:r>
      <w:r>
        <w:rPr>
          <w:rFonts w:ascii="Times New Roman" w:cs="Times New Roman" w:eastAsia="Times New Roman" w:hAnsi="Times New Roman"/>
          <w:lang w:val="es-ES" w:eastAsia="es-ES"/>
        </w:rPr>
        <w:t>bién, de manera general, a la población en áreas vinculadas con el transporte y la transferencia de tecnologías. En este sentido, los países de la región buscan alternativas para eq</w:t>
      </w:r>
      <w:r>
        <w:rPr>
          <w:rFonts w:ascii="Times New Roman" w:cs="Times New Roman" w:eastAsia="Times New Roman" w:hAnsi="Times New Roman"/>
          <w:lang w:val="es-ES" w:eastAsia="es-ES"/>
        </w:rPr>
        <w:t>uilibrar las relaciones con ambas naciones, considerando el contexto nacional, las relaciones históricas y las oportunidades de inversión en favor de sus economías.</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Desde la incorporación de ALC a la IFR, Estados Unidos ha promovido algunas iniciativas para contrarrestar la presencia china. Entre ellas destacan la Iniciativa América Crece, lanzada en 2019 durante el primer mandato de Donald Trump, y la "Alianza para la Prosperidad Económica de las Américas" (APEP), de la administración Biden.</w:t>
      </w:r>
    </w:p>
    <w:p>
      <w:pPr>
        <w:pStyle w:val="style0"/>
        <w:spacing w:before="240" w:lineRule="auto" w:line="360"/>
        <w:jc w:val="both"/>
        <w:rPr>
          <w:rFonts w:ascii="Times New Roman" w:cs="Times New Roman" w:eastAsia="Times New Roman" w:hAnsi="Times New Roman"/>
          <w:b/>
          <w:lang w:val="es-ES" w:eastAsia="es-ES"/>
        </w:rPr>
      </w:pPr>
      <w:r>
        <w:rPr>
          <w:rFonts w:ascii="Times New Roman" w:cs="Times New Roman" w:eastAsia="Times New Roman" w:hAnsi="Times New Roman"/>
          <w:b/>
          <w:lang w:val="es-ES" w:eastAsia="es-ES"/>
        </w:rPr>
        <w:t>Las relaciones bilaterales sino-peruanas en el periodo 2019-2024.</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Perú se incorporó a la Iniciativa de la Franja y la Ruta en 2019, mediante la firma de un memorando de entendimiento (Spanish.news.cn, 2023). Sin embargo, en el ámbito bilateral, Pe</w:t>
      </w:r>
      <w:r>
        <w:rPr>
          <w:rFonts w:ascii="Times New Roman" w:cs="Times New Roman" w:eastAsia="Times New Roman" w:hAnsi="Times New Roman"/>
          <w:lang w:val="es-ES" w:eastAsia="es-ES"/>
        </w:rPr>
        <w:t>rú y China habían iniciado una nueva etapa en su relación económico-política una década antes, mediante la firma de hitos clave como el Acuerdo de Libre Comercio (2010), el establecimiento del Comité de Diálogo Económico y Estratégico (que entre 2014 y 2024 ha celebrado cuatro encuentros), la declaración de una Asociación Estratégica Integral en 2013 (lo que convirtió a China en un socio estratégico integral de Perú), y la adopción de un Plan de Acción Bilateral (La</w:t>
      </w:r>
      <w:r>
        <w:rPr>
          <w:rFonts w:ascii="Times New Roman" w:cs="Times New Roman" w:eastAsia="Times New Roman" w:hAnsi="Times New Roman"/>
          <w:lang w:val="es-ES" w:eastAsia="es-ES"/>
        </w:rPr>
        <w:t xml:space="preserve"> República Perú, 2023).</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Desde una perspectiva política, Perú ha buscado históricamente diversificar sus mercados comerciales más allá de Occidente, motivado por la volatilidad de los precios de sus materias primas y la inestabilidad interna. Esto se ha reflejado en el fortalecimiento de los lazos con China desde 1971 y en la promoción de esta alianza al incorporar la BRI en su Plan Nacional de Desarrollo 2022-2026</w:t>
      </w:r>
      <w:r>
        <w:rPr>
          <w:rStyle w:val="style38"/>
          <w:rFonts w:ascii="Times New Roman" w:cs="Times New Roman" w:eastAsia="Times New Roman" w:hAnsi="Times New Roman"/>
          <w:lang w:val="es-ES" w:eastAsia="es-ES"/>
        </w:rPr>
        <w:footnoteReference w:id="1"/>
      </w:r>
      <w:r>
        <w:rPr>
          <w:rFonts w:ascii="Times New Roman" w:cs="Times New Roman" w:eastAsia="Times New Roman" w:hAnsi="Times New Roman"/>
          <w:lang w:val="es-ES" w:eastAsia="es-ES"/>
        </w:rPr>
        <w:t xml:space="preserve">. </w:t>
      </w:r>
      <w:r>
        <w:rPr>
          <w:rFonts w:ascii="Times New Roman" w:cs="Times New Roman" w:eastAsia="Times New Roman" w:hAnsi="Times New Roman"/>
          <w:lang w:val="es-ES" w:eastAsia="es-ES"/>
        </w:rPr>
        <w:t xml:space="preserve">La inestabilidad política que ha experimentado la nación sudamericana en los últimos 8 años ha caracterizado el contexto peruano. En ese período, siete personas ejercieron la presidencia (tres de ellas renunciaron y dos mandatos fueron </w:t>
      </w:r>
      <w:r>
        <w:rPr>
          <w:rFonts w:ascii="Times New Roman" w:cs="Times New Roman" w:eastAsia="Times New Roman" w:hAnsi="Times New Roman"/>
          <w:lang w:val="es-ES" w:eastAsia="es-ES"/>
        </w:rPr>
        <w:t>interrumpidos por el uso de la figura de la vacancia presidencial, además de dos disoluciones del Congreso cuya regularidad fue cuestionada)</w:t>
      </w:r>
      <w:r>
        <w:rPr>
          <w:rStyle w:val="style38"/>
          <w:rFonts w:ascii="Times New Roman" w:cs="Times New Roman" w:eastAsia="Times New Roman" w:hAnsi="Times New Roman"/>
          <w:lang w:val="es-ES" w:eastAsia="es-ES"/>
        </w:rPr>
        <w:footnoteReference w:id="2"/>
      </w:r>
      <w:r>
        <w:rPr>
          <w:rFonts w:ascii="Times New Roman" w:cs="Times New Roman" w:eastAsia="Times New Roman" w:hAnsi="Times New Roman"/>
          <w:lang w:val="es-ES" w:eastAsia="es-ES"/>
        </w:rPr>
        <w:t>(Ponce, 2023).</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Las administraciones de Pedro Castillo (2021-2022) y Dina Boluarte (2022-presente) han abordado la IFR desde perspectivas completamente diferentes, lo que refleja las tensiones entre una crítica al neocolonialismo económico y una estrategia más pragmática de integración en las cadenas globales de valor. Castillo vinculó la IFR al P</w:t>
      </w:r>
      <w:r>
        <w:rPr>
          <w:rFonts w:ascii="Times New Roman" w:cs="Times New Roman" w:eastAsia="Times New Roman" w:hAnsi="Times New Roman"/>
          <w:lang w:val="es-ES" w:eastAsia="es-ES"/>
        </w:rPr>
        <w:t>lan Nacional de Desarrollo (PND) a través de memorandos que priorizaban la transparencia y los objetivos sociales, alineándose con la teoría de la dependencia de Raúl Prebisch, la cual enfatiza la necesidad de redistribuir las rentas miner</w:t>
      </w:r>
      <w:r>
        <w:rPr>
          <w:rFonts w:ascii="Times New Roman" w:cs="Times New Roman" w:eastAsia="Times New Roman" w:hAnsi="Times New Roman"/>
          <w:lang w:val="es-ES" w:eastAsia="es-ES"/>
        </w:rPr>
        <w:t>as. Sin embargo, su discurso crítico contrastó con la firma de acuerdos con empresas chinas, como en el proyecto Chaglla II, lo que evidenció una contradicción.</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Por otro lado, la administración Boluarte adoptó una postura más proactiva, acelerando proyectos como el puerto de Chancay. Su enfoque, alineado con el modelo Ricardiano de ventajas comparativas en el cobre y la logística, priorizó plazos cortos y una rápida ejecución, pasando por alto las advertencias sobre la necesidad de contar con instituciones sólidas para mitigar externalidades negativas, tales como la conflictividad social en Apurímac o los riesgos de dependencia tecnológica en redes 5G de Huawei. Es</w:t>
      </w:r>
      <w:r>
        <w:rPr>
          <w:rFonts w:ascii="Times New Roman" w:cs="Times New Roman" w:eastAsia="Times New Roman" w:hAnsi="Times New Roman"/>
          <w:lang w:val="es-ES" w:eastAsia="es-ES"/>
        </w:rPr>
        <w:t xml:space="preserve">ta transición de un enfoque defensivo a uno más afín al neoliberalismo refleja la tensión entre dos visiones de desarrollo: una estructuralista, que busca fortalecer las instituciones y promover una redistribución equitativa, y una perspectiva neoliberal, que prioriza la eficiencia y el crecimiento económico inmediato. </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Esto expone a Perú a riesgos de concentración de activos estratégicos y a un potencial aumento de las desigualdades. Para superar esta dicotomía, se propone un modelo híbrido que combine meta</w:t>
      </w:r>
      <w:r>
        <w:rPr>
          <w:rFonts w:ascii="Times New Roman" w:cs="Times New Roman" w:eastAsia="Times New Roman" w:hAnsi="Times New Roman"/>
          <w:lang w:val="es-ES" w:eastAsia="es-ES"/>
        </w:rPr>
        <w:t>s de desarrollo sostenible con marcos regulatorios que aseguren la soberanía tecnológica y promuevan una gobernanza participativa.</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Según datos del Ministerio de Desarrollo Agrario y Riego (2024), tras la firma del TLC, el superávit en la balanza comercial de exportaciones peruanas a China alcanzó en 2023 la cifra de US$ 298 millones (la más elevada desde la firma del TLC en 2010), lo cual representa aproximadamente el 19,7% del promedio anual, en contraste con las importaciones de US$ 122 millones en 2023. El sector minero representa casi el 90% de las exportaciones peruanas a China. A su vez, este sector constituye la principal área d</w:t>
      </w:r>
      <w:r>
        <w:rPr>
          <w:rFonts w:ascii="Times New Roman" w:cs="Times New Roman" w:eastAsia="Times New Roman" w:hAnsi="Times New Roman"/>
          <w:lang w:val="es-ES" w:eastAsia="es-ES"/>
        </w:rPr>
        <w:t xml:space="preserve">e la Inversión Extranjera Directa (IED) china en Perú, seguido por los sectores de generación </w:t>
      </w:r>
      <w:r>
        <w:rPr>
          <w:rFonts w:ascii="Times New Roman" w:cs="Times New Roman" w:eastAsia="Times New Roman" w:hAnsi="Times New Roman"/>
          <w:lang w:val="es-ES" w:eastAsia="es-ES"/>
        </w:rPr>
        <w:t>eléctrica y petróleo y gas en segunda y tercera posición, respectivamente, entre 2001 y 2023 (Sociedad de Comercio Exterior de Perú, 2024).</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La relación económica entre Perú y China se articula en torno a tres sectores estratégicos que reflejan tanto las sinergias como las tensiones inherentes a su asociación, especialmente en el marco de la Iniciativa de la Franja y la Ruta (BRI). En el sec</w:t>
      </w:r>
      <w:r>
        <w:rPr>
          <w:rFonts w:ascii="Times New Roman" w:cs="Times New Roman" w:eastAsia="Times New Roman" w:hAnsi="Times New Roman"/>
          <w:lang w:val="es-ES" w:eastAsia="es-ES"/>
        </w:rPr>
        <w:t>tor miner</w:t>
      </w:r>
      <w:r>
        <w:rPr>
          <w:rFonts w:ascii="Times New Roman" w:cs="Times New Roman" w:eastAsia="Times New Roman" w:hAnsi="Times New Roman"/>
          <w:lang w:val="es-ES" w:eastAsia="es-ES"/>
        </w:rPr>
        <w:t>o, el proyecto Las Bambas, operado por China Molybdenum Co. con una inversión de USD 10.000 millones, ilustra la dependencia peruana del capital chino para la explotación de su riqueza mineral.</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 xml:space="preserve"> No obstante, también evidencia desafíos socioambientales: en 2022, protestas en Apurímac –motivadas por la falta de infraestructura adecuada y acuerdos de beneficios compartidos– generaron bloqueos de más de 60 días, resultando en pérdidas estimadas de USD 150 millones según Scotiabank (2023). La renegociaci</w:t>
      </w:r>
      <w:r>
        <w:rPr>
          <w:rFonts w:ascii="Times New Roman" w:cs="Times New Roman" w:eastAsia="Times New Roman" w:hAnsi="Times New Roman"/>
          <w:lang w:val="es-ES" w:eastAsia="es-ES"/>
        </w:rPr>
        <w:t>ón de la "ruta sur", que elevó las regalías municipales, redujo significativamente las protestas en 2024, lo cual evidencia la necesidad de mecanismos inclusivos para mitigar conflictos.</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En logística po</w:t>
      </w:r>
      <w:r>
        <w:rPr>
          <w:rFonts w:ascii="Times New Roman" w:cs="Times New Roman" w:eastAsia="Times New Roman" w:hAnsi="Times New Roman"/>
          <w:lang w:val="es-ES" w:eastAsia="es-ES"/>
        </w:rPr>
        <w:t>rtuaria, el megapuerto de Chancay, desarrollado por COSCO Shipping con una inversión de USD 3.000 millones, redefine la geopolítica comercial. Diseñado para manejar 2,2 millones de TEU anuales (con un 40% destinado al comercio Chi</w:t>
      </w:r>
      <w:r>
        <w:rPr>
          <w:rFonts w:ascii="Times New Roman" w:cs="Times New Roman" w:eastAsia="Times New Roman" w:hAnsi="Times New Roman"/>
          <w:lang w:val="es-ES" w:eastAsia="es-ES"/>
        </w:rPr>
        <w:t>na-América Latina), su operación busca desconcentrar el tráfico marítimo del saturado Callao (considerado el principal puerto de la actividad portuaria peruana, pero que por sus condiciones naturales posee algunas limitantes constructivas que serán superadas por este nuevo proyecto</w:t>
      </w:r>
      <w:r>
        <w:rPr>
          <w:rFonts w:ascii="Times New Roman" w:cs="Times New Roman" w:eastAsia="Times New Roman" w:hAnsi="Times New Roman"/>
          <w:lang w:val="es-ES" w:eastAsia="es-ES"/>
        </w:rPr>
        <w:t>) y diversificar rutas transoceánicas, reduciendo la dependencia del Canal de Panamá.</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 xml:space="preserve"> COSCO Shipping Ports es el accionista mayoritario del proyecto con el 60%, mientras que la empresa peruana Volcan Compañía Minera posee el 40% restante (Bogado Bordazar &amp; Schulz, 2025). Según la analista geopolítica Jane L. Golub, este proyecto no solo fortalece la Ruta Marítima del Pacífico Sur, sino que también posiciona a Perú como un nodo crítico en las cadenas de suministro globales.</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Finalmente, en el ámbito energético, la Central Hidroeléctrica Chaglla II, financiada íntegramente por capital chino, aporta 200 MW al sistema interconectado nacional, alineándose</w:t>
      </w:r>
      <w:r>
        <w:rPr>
          <w:rFonts w:ascii="Times New Roman" w:cs="Times New Roman" w:eastAsia="Times New Roman" w:hAnsi="Times New Roman"/>
          <w:lang w:val="es-ES" w:eastAsia="es-ES"/>
        </w:rPr>
        <w:t xml:space="preserve"> con la meta peruana de incrementar en un 50% la capacidad renovable antes de 2030. Su operación evita la emisión de 320.000 tCO₂ anuales, lo cual equivale a retirar </w:t>
      </w:r>
      <w:r>
        <w:rPr>
          <w:rFonts w:ascii="Times New Roman" w:cs="Times New Roman" w:eastAsia="Times New Roman" w:hAnsi="Times New Roman"/>
          <w:lang w:val="es-ES" w:eastAsia="es-ES"/>
        </w:rPr>
        <w:t>70.000 vehículos de las calles, según datos del Ministerio de Energía y Minas (MEM, 2023). No obstante, estos avances coexisten con riesgos de sobredependencia tecnológica y normativa, así como con la necesidad de equilibrar la rentabilidad económica y la justicia distributiva en proyectos críticos.</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 xml:space="preserve">El </w:t>
      </w:r>
      <w:r>
        <w:rPr>
          <w:rFonts w:ascii="Times New Roman" w:cs="Times New Roman" w:eastAsia="Times New Roman" w:hAnsi="Times New Roman"/>
          <w:lang w:val="es-ES" w:eastAsia="es-ES"/>
        </w:rPr>
        <w:t xml:space="preserve">año 2024 representó un hito fundamental en las relaciones bilaterales sino-peruanas. Desde el aspecto económico-comercial, se logró la suscripción del Plan de Acción Conjunta 2024-2029, la firma del Memorando de Entendimiento para establecer el Mecanismo de Diálogo Estratégico en Cooperación Económica, y la creación del Consejo Peruano-Chino (Cruz, 2024). Asimismo, se firmó el Protocolo de Optimización del TLC, el cual permitirá ampliar el comercio, la inversión y la cooperación aduanera en el marco de los </w:t>
      </w:r>
      <w:r>
        <w:rPr>
          <w:rFonts w:ascii="Times New Roman" w:cs="Times New Roman" w:eastAsia="Times New Roman" w:hAnsi="Times New Roman"/>
          <w:lang w:val="es-ES" w:eastAsia="es-ES"/>
        </w:rPr>
        <w:t>vínculos bilaterales (Ministerio de Relaciones Exteriores del Perú, 20</w:t>
      </w:r>
      <w:r>
        <w:rPr>
          <w:rFonts w:ascii="Times New Roman" w:cs="Times New Roman" w:eastAsia="Times New Roman" w:hAnsi="Times New Roman"/>
          <w:lang w:val="es-ES" w:eastAsia="es-ES"/>
        </w:rPr>
        <w:t>24).</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Lo anterior se complementa con las dos visitas de alto nivel realizadas por las máximas figuras políticas de ambas naciones. En primer lugar, la mandataria peruana Dina Boluarte realizó la primera visita oficial a la República Popular China. Ambos mandatarios firmaron un plan de acción conjunto para profundizar la cooperación en materia de comercio, economía digital e innovación científica y tecnológica, y anunciaron la conclusión oficial de las negociaciones para la optimización de su acuerdo de libre come</w:t>
      </w:r>
      <w:r>
        <w:rPr>
          <w:rFonts w:ascii="Times New Roman" w:cs="Times New Roman" w:eastAsia="Times New Roman" w:hAnsi="Times New Roman"/>
          <w:lang w:val="es-ES" w:eastAsia="es-ES"/>
        </w:rPr>
        <w:t xml:space="preserve">rcio, un proceso iniciado en 2018 (Xie, 2024). </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Posteriormente, el mandatario chino Xi Jinping realizó una visita oficial al Estado peruano entre el 14 y el 16 de noviembre de 2024. Entre sus principales actividades se incluyeron la inauguración del Puerto de Chancay en el país sudamericano y su participación en la Cumbre del Foro de Cooperación Económica Asia-Pacífico (APEC).</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 xml:space="preserve">La </w:t>
      </w:r>
      <w:r>
        <w:rPr>
          <w:rFonts w:ascii="Times New Roman" w:cs="Times New Roman" w:eastAsia="Times New Roman" w:hAnsi="Times New Roman"/>
          <w:lang w:val="es-ES" w:eastAsia="es-ES"/>
        </w:rPr>
        <w:t xml:space="preserve">trayectoria de Perú en la Iniciativa de la Franja y la Ruta (BRI) hacia 2030 se analiza a través de tres escenarios que muestran tanto oportunidades transformadoras como riesgos sistémicos. El primer escenario proyecta a Chancay como un hub logístico multinodal en pleno funcionamiento, conectado por un corredor ferroviario que uniría el Pacífico con el Atlántico. Esto podría reducir los costos de exportación en un 20%. Este avance, respaldado por memorandos de entendimiento con EE.UU. y la ASEAN para rutas </w:t>
      </w:r>
      <w:r>
        <w:rPr>
          <w:rFonts w:ascii="Times New Roman" w:cs="Times New Roman" w:eastAsia="Times New Roman" w:hAnsi="Times New Roman"/>
          <w:lang w:val="es-ES" w:eastAsia="es-ES"/>
        </w:rPr>
        <w:t>complementarias, podría impulsar un crecimiento anual del PBI peruano. Sin embargo, para que este escenario se materialice, es necesario resolver las tensiones relacionadas con las cláusulas de peaje y asegurar una amplia licencia social.</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 xml:space="preserve"> El segundo escenario prevé un resurgimiento de conflictos sociales en áreas mineras y rurales, alimentados por expectativas de desarrollo local insatisfechas y la falta de consulta previa en los proyectos. Esto podría generar sobrecostos en inversiones detenidas y un impac</w:t>
      </w:r>
      <w:r>
        <w:rPr>
          <w:rFonts w:ascii="Times New Roman" w:cs="Times New Roman" w:eastAsia="Times New Roman" w:hAnsi="Times New Roman"/>
          <w:lang w:val="es-ES" w:eastAsia="es-ES"/>
        </w:rPr>
        <w:t>to negativo en el PBI regional, subrayando la necesidad de instituciones de gobernanza participativa para evitar la erosión del capital social. El tercer escenario contempla una diversificación de socios estratégicos mediante tratados de libre comercio (TLC) con la UE, India y la ASEAN, complementada con el desarrollo de Zonas Económicas Especiales y estrategias activas para atraer inversión extranjera directa (IED) que no provenga de China.</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 xml:space="preserve">Conclusiones </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 xml:space="preserve">La Iniciativa de la Franja y la Ruta ha consolidado su despliegue en América Latina y el Caribe (ALC) entre 2019 y 2024, caracterizado por la incorporación progresiva de Estados de la región y un aumento sostenido en los intercambios comerciales con China. Este fenómeno ha reforzado el posicionamiento de China como actor económico central para ALC, impulsando inversiones en infraestructura crítica y modificando patrones históricos de vinculación internacional. Dicho proceso se articula con los esfuerzos de </w:t>
      </w:r>
      <w:r>
        <w:rPr>
          <w:rFonts w:ascii="Times New Roman" w:cs="Times New Roman" w:eastAsia="Times New Roman" w:hAnsi="Times New Roman"/>
          <w:lang w:val="es-ES" w:eastAsia="es-ES"/>
        </w:rPr>
        <w:t xml:space="preserve">los países latinoamericanos y caribeños por diversificar sus alianzas y acceder a mecanismos de desarrollo alternativos, aunque en un contexto condicionado por la creciente rivalidad estratégica entre potencias globales.  </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Por otro lado, el caso de las relaciones sino-peruanas evidencia una institucionalización acelerada de la cooperación bilateral bajo los lineamientos de la IFR. La adhesión de Perú a la Iniciativa en 2019 impulsó la concreción de proyectos emblemáticos —como el megapuerto de Chancay— y consolidó la interdependencia económica mediante la expansión del comercio y la inversión china en sectores extractivos y logísticos. Este dinamismo se sostuvo en instrumentos como la actualización del Tratado de Libre Comerc</w:t>
      </w:r>
      <w:r>
        <w:rPr>
          <w:rFonts w:ascii="Times New Roman" w:cs="Times New Roman" w:eastAsia="Times New Roman" w:hAnsi="Times New Roman"/>
          <w:lang w:val="es-ES" w:eastAsia="es-ES"/>
        </w:rPr>
        <w:t xml:space="preserve">io (2023) y mecanismos de diálogo político-estratégico. </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 xml:space="preserve">Sin embargo, la interacción bilateral enfrentó tensiones derivadas de asimetrías estructurales, debates sobre los costos socioambientales de proyectos extractivistas y divergencias en la gestión de expectativas entre actores gubernamentales y sociedad civil. Los cambios en el escenario político interno peruano introdujeron variables de incertidumbre en la continuidad de la cooperación, aunque sin alterar su trayectoria ascendente en términos macroeconómicos.  </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El análisis del periodo 2019-2024 permite observar que la IFR opera como un vector de transformación en las relaciones sino-latinoamericanas, combinando pragmatismo económico con proyección geopolítica. Para Perú, este marco ha ampliado las oportunidades de desarrollo infraestructural y acceso a mercados, pero también ha revelado contradicciones inherentes a modelos de cooperación basados en altos niveles de especialización primario-exportadora.</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 xml:space="preserve"> A escala regional, el avance de la Iniciativa refleja tanto la adaptabilidad de la diplomacia china a contextos heterogéneos como los límites estructurales de ALC para articular respuestas coordinadas ante la reconfiguración del orden global. Estos hallazgos subrayan la necesidad de abordar críticamente los equilibrios entre interdependencia económica, sostenibilidad y autonomía estratégica en un escenario internacional crecientemente fragmentado.</w:t>
      </w:r>
    </w:p>
    <w:p>
      <w:pPr>
        <w:pStyle w:val="style0"/>
        <w:spacing w:before="240" w:lineRule="auto" w:line="360"/>
        <w:jc w:val="both"/>
        <w:rPr>
          <w:rFonts w:ascii="Times New Roman" w:cs="Times New Roman" w:eastAsia="Times New Roman" w:hAnsi="Times New Roman"/>
          <w:lang w:val="es-ES" w:eastAsia="es-ES"/>
        </w:rPr>
      </w:pPr>
      <w:r>
        <w:rPr>
          <w:rFonts w:ascii="Times New Roman" w:cs="Times New Roman" w:eastAsia="Times New Roman" w:hAnsi="Times New Roman"/>
          <w:lang w:val="es-ES" w:eastAsia="es-ES"/>
        </w:rPr>
        <w:t xml:space="preserve">Referencias bibliográficas: </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Baldwin, R. (2019).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The Globotics Upheaval: Globalization, Robotics, and the Future of White-Collar Work</w:t>
      </w:r>
      <w:r>
        <w:rPr>
          <w:rFonts w:ascii="Times New Roman" w:cs="Times New Roman" w:eastAsia="Times New Roman" w:hAnsi="Times New Roman"/>
          <w:color w:val="1b1c1d"/>
          <w:kern w:val="0"/>
          <w:lang w:eastAsia="es-MX"/>
          <w14:ligatures xmlns:w14="http://schemas.microsoft.com/office/word/2010/wordml" w14:val="none"/>
        </w:rPr>
        <w:t>.</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Banco Mundial. (s.f.).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 xml:space="preserve">Indicadores de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sostenibilidad ambiental y emisiones evitadas en proyectos hidroeléctricos</w:t>
      </w:r>
      <w:r>
        <w:rPr>
          <w:rFonts w:ascii="Times New Roman" w:cs="Times New Roman" w:eastAsia="Times New Roman" w:hAnsi="Times New Roman"/>
          <w:color w:val="1b1c1d"/>
          <w:kern w:val="0"/>
          <w:lang w:eastAsia="es-MX"/>
          <w14:ligatures xmlns:w14="http://schemas.microsoft.com/office/word/2010/wordml" w14:val="none"/>
        </w:rPr>
        <w:t>.</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MS Gothic" w:hAnsi="Times New Roman"/>
          <w:color w:val="1b1c1d"/>
          <w:kern w:val="0"/>
          <w:lang w:eastAsia="es-MX"/>
          <w14:ligatures xmlns:w14="http://schemas.microsoft.com/office/word/2010/wordml" w14:val="none"/>
        </w:rPr>
        <w:t>中国</w:t>
      </w:r>
      <w:r>
        <w:rPr>
          <w:rFonts w:ascii="Times New Roman" w:cs="Times New Roman" w:eastAsia="Noto Sans CJK JP" w:hAnsi="Times New Roman"/>
          <w:color w:val="1b1c1d"/>
          <w:kern w:val="0"/>
          <w:lang w:eastAsia="es-MX"/>
          <w14:ligatures xmlns:w14="http://schemas.microsoft.com/office/word/2010/wordml" w14:val="none"/>
        </w:rPr>
        <w:t>远</w:t>
      </w:r>
      <w:r>
        <w:rPr>
          <w:rFonts w:ascii="Times New Roman" w:cs="Times New Roman" w:eastAsia="MS Gothic" w:hAnsi="Times New Roman"/>
          <w:color w:val="1b1c1d"/>
          <w:kern w:val="0"/>
          <w:lang w:eastAsia="es-MX"/>
          <w14:ligatures xmlns:w14="http://schemas.microsoft.com/office/word/2010/wordml" w14:val="none"/>
        </w:rPr>
        <w:t>洋海运</w:t>
      </w:r>
      <w:r>
        <w:rPr>
          <w:rFonts w:ascii="Times New Roman" w:cs="Times New Roman" w:eastAsia="Times New Roman" w:hAnsi="Times New Roman"/>
          <w:color w:val="1b1c1d"/>
          <w:kern w:val="0"/>
          <w:lang w:eastAsia="es-MX"/>
          <w14:ligatures xmlns:w14="http://schemas.microsoft.com/office/word/2010/wordml" w14:val="none"/>
        </w:rPr>
        <w:t xml:space="preserve">. (s.f.).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Coscoshipping.com</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"https://www.coscoshipping.com/"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https://www.coscoshipping.com</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CMOC Group. (s.f.).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CMOC Group</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"https://www.cmocgroup.com/"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https://www.cmocgroup.com</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Comisión Nacional de Desarrollo y Reforma et al. (2015).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Visión y acciones para la construcción conjunta del Cinturón Económico de la Ruta de la Seda y la Ruta de la Seda Marítima del siglo XXI</w:t>
      </w:r>
      <w:r>
        <w:rPr>
          <w:rFonts w:ascii="Times New Roman" w:cs="Times New Roman" w:eastAsia="Times New Roman" w:hAnsi="Times New Roman"/>
          <w:color w:val="1b1c1d"/>
          <w:kern w:val="0"/>
          <w:lang w:eastAsia="es-MX"/>
          <w14:ligatures xmlns:w14="http://schemas.microsoft.com/office/word/2010/wordml" w14:val="none"/>
        </w:rPr>
        <w:t xml:space="preserve">. Xinhua. </w:t>
      </w:r>
      <w:r>
        <w:rPr/>
        <w:fldChar w:fldCharType="begin"/>
      </w:r>
      <w:r>
        <w:instrText xml:space="preserve"> HYPERLINK "https://eng.yidayilu.gov.cn/p.1084.html"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https://eng.yidayilu.gov.cn/p.1084.html</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Cortés Rondoy, J. (2022). Divergent development experiences: a general outlook Of China and Latin America’s development trends.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Latin American Journal of Trade Policy</w:t>
      </w:r>
      <w:r>
        <w:rPr>
          <w:rFonts w:ascii="Times New Roman" w:cs="Times New Roman" w:eastAsia="Times New Roman" w:hAnsi="Times New Roman"/>
          <w:color w:val="1b1c1d"/>
          <w:kern w:val="0"/>
          <w:lang w:eastAsia="es-MX"/>
          <w14:ligatures xmlns:w14="http://schemas.microsoft.com/office/word/2010/wordml" w14:val="none"/>
        </w:rPr>
        <w:t xml:space="preserve">,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14</w:t>
      </w:r>
      <w:r>
        <w:rPr>
          <w:rFonts w:ascii="Times New Roman" w:cs="Times New Roman" w:eastAsia="Times New Roman" w:hAnsi="Times New Roman"/>
          <w:color w:val="1b1c1d"/>
          <w:kern w:val="0"/>
          <w:lang w:eastAsia="es-MX"/>
          <w14:ligatures xmlns:w14="http://schemas.microsoft.com/office/word/2010/wordml" w14:val="none"/>
        </w:rPr>
        <w:t>(2022). ISSN 079-9668. Universidad de Chile.</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Cruz, E. (2024). Estos son los acuerdos suscritos de Perú con China para atraer inversiones.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Rumbo Minero</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"https://www.rumbominero.com/peru/noticias/acuerdos-suscritos-de-peru-con-china/"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https://www.rumbominero.com/peru/noticias/acuerdos-suscritos-de-peru-con-china/</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Embajada de la República Popular China en la República del Perú. (2023).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Intercambios y Cooperación entre China y Perú</w:t>
      </w:r>
      <w:r>
        <w:rPr>
          <w:rFonts w:ascii="Times New Roman" w:cs="Times New Roman" w:eastAsia="Times New Roman" w:hAnsi="Times New Roman"/>
          <w:color w:val="1b1c1d"/>
          <w:kern w:val="0"/>
          <w:lang w:eastAsia="es-MX"/>
          <w14:ligatures xmlns:w14="http://schemas.microsoft.com/office/word/2010/wordml" w14:val="none"/>
        </w:rPr>
        <w:t>. [Asumiendo que esta es la fuente general de la embajada sobre el tema, se necesitaría un URL específico si se refiere a un documento concreto].</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Entrevistas y declaraciones oficiales de Jorge. (s.f.).</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García, A. (2022). Infraestructura portuaria y geopolítica: El proyecto Chancay.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Estudios Internacionales</w:t>
      </w:r>
      <w:r>
        <w:rPr>
          <w:rFonts w:ascii="Times New Roman" w:cs="Times New Roman" w:eastAsia="Times New Roman" w:hAnsi="Times New Roman"/>
          <w:color w:val="1b1c1d"/>
          <w:kern w:val="0"/>
          <w:lang w:eastAsia="es-MX"/>
          <w14:ligatures xmlns:w14="http://schemas.microsoft.com/office/word/2010/wordml" w14:val="none"/>
        </w:rPr>
        <w:t xml:space="preserve">,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8</w:t>
      </w:r>
      <w:r>
        <w:rPr>
          <w:rFonts w:ascii="Times New Roman" w:cs="Times New Roman" w:eastAsia="Times New Roman" w:hAnsi="Times New Roman"/>
          <w:color w:val="1b1c1d"/>
          <w:kern w:val="0"/>
          <w:lang w:eastAsia="es-MX"/>
          <w14:ligatures xmlns:w14="http://schemas.microsoft.com/office/word/2010/wordml" w14:val="none"/>
        </w:rPr>
        <w:t>(1), 101–120.</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Golub, J. L. (2022). Geopolítica portuaria y la reconfiguración del Pacífico Sur.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Revista Global Affairs</w:t>
      </w:r>
      <w:r>
        <w:rPr>
          <w:rFonts w:ascii="Times New Roman" w:cs="Times New Roman" w:eastAsia="Times New Roman" w:hAnsi="Times New Roman"/>
          <w:color w:val="1b1c1d"/>
          <w:kern w:val="0"/>
          <w:lang w:eastAsia="es-MX"/>
          <w14:ligatures xmlns:w14="http://schemas.microsoft.com/office/word/2010/wordml" w14:val="none"/>
        </w:rPr>
        <w:t>.</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GRADE (Grupo de Análisis para el Desarrollo). (s.f.).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Estudios sobre el impacto socioeconómico del Proyecto Chancay</w:t>
      </w:r>
      <w:r>
        <w:rPr>
          <w:rFonts w:ascii="Times New Roman" w:cs="Times New Roman" w:eastAsia="Times New Roman" w:hAnsi="Times New Roman"/>
          <w:color w:val="1b1c1d"/>
          <w:kern w:val="0"/>
          <w:lang w:eastAsia="es-MX"/>
          <w14:ligatures xmlns:w14="http://schemas.microsoft.com/office/word/2010/wordml" w14:val="none"/>
        </w:rPr>
        <w:t>.</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Hernández, J. (2023, 7 de julio). Cuba celebra diez años de la Iniciativa de la Franja y la Ruta.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Xinhua en español</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"https://spanish.xinhuanet.com/20230707/9321c5524a9a4ef481f4a0752f74910f/c.html"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https://spanish.xinhuanet.com/20230707/9321c5524a9a4ef481f4a0752f74910f/c.html</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Huang, L. (2024). Cooperación económica: China-América Latina y el Caribe; ante la Franja y la Ruta. En H. Li &amp; A. C. Zottete (Eds.),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China y México construyen una Comunidad de Futuro Compartido</w:t>
      </w:r>
      <w:r>
        <w:rPr>
          <w:rFonts w:ascii="Times New Roman" w:cs="Times New Roman" w:eastAsia="Times New Roman" w:hAnsi="Times New Roman"/>
          <w:color w:val="1b1c1d"/>
          <w:kern w:val="0"/>
          <w:lang w:eastAsia="es-MX"/>
          <w14:ligatures xmlns:w14="http://schemas.microsoft.com/office/word/2010/wordml" w14:val="none"/>
        </w:rPr>
        <w:t>. Universidad de Comunicación de China.</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Informe Anual de Comercio Bilateral</w:t>
      </w:r>
      <w:r>
        <w:rPr>
          <w:rFonts w:ascii="Times New Roman" w:cs="Times New Roman" w:eastAsia="Times New Roman" w:hAnsi="Times New Roman"/>
          <w:color w:val="1b1c1d"/>
          <w:kern w:val="0"/>
          <w:lang w:eastAsia="es-MX"/>
          <w14:ligatures xmlns:w14="http://schemas.microsoft.com/office/word/2010/wordml" w14:val="none"/>
        </w:rPr>
        <w:t>. (2023).</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Inicio. (2022, 11 de mayo).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CEP Chile</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"https://www.cepchile.cl/"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https://www.cepchile.cl</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Instituto Chino para el Desarrollo Global (CIDG). (2023).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Cooperación China-Latinoamérica bajo la BRI: Casos de estudio en infraestructura</w:t>
      </w:r>
      <w:r>
        <w:rPr>
          <w:rFonts w:ascii="Times New Roman" w:cs="Times New Roman" w:eastAsia="Times New Roman" w:hAnsi="Times New Roman"/>
          <w:color w:val="1b1c1d"/>
          <w:kern w:val="0"/>
          <w:lang w:eastAsia="es-MX"/>
          <w14:ligatures xmlns:w14="http://schemas.microsoft.com/office/word/2010/wordml" w14:val="none"/>
        </w:rPr>
        <w:t>.</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Johnson, R. (2018).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Chinese Immigration to Latin America: Historical and Cultural Impact</w:t>
      </w:r>
      <w:r>
        <w:rPr>
          <w:rFonts w:ascii="Times New Roman" w:cs="Times New Roman" w:eastAsia="Times New Roman" w:hAnsi="Times New Roman"/>
          <w:color w:val="1b1c1d"/>
          <w:kern w:val="0"/>
          <w:lang w:eastAsia="es-MX"/>
          <w14:ligatures xmlns:w14="http://schemas.microsoft.com/office/word/2010/wordml" w14:val="none"/>
        </w:rPr>
        <w:t>. Palgrave Macmillan.</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La República Perú. (2023). La Franja y la Ruta: camino de integración con China y desarrollo para el mundo.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Puente a China</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"https://especial.larepublica.pe/puente-a-china/2023/10/17/la-franja-y-la-ruta-camino-de-integracion-con-china-y-desarrollo-para-el-mundo-874463"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https://especial.larepublica.pe/puente-a-china/2023/10/17/la-franja-y-la-ruta-camino-de-integracion-con-china-y-desarrollo-para-el-mundo-874463</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Lopes Alonso, D. et al. (2021). América Latina y China: ¿beneficio mutuo o dependencia?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Revista de la CEPAL</w:t>
      </w:r>
      <w:r>
        <w:rPr>
          <w:rFonts w:ascii="Times New Roman" w:cs="Times New Roman" w:eastAsia="Times New Roman" w:hAnsi="Times New Roman"/>
          <w:color w:val="1b1c1d"/>
          <w:kern w:val="0"/>
          <w:lang w:eastAsia="es-MX"/>
          <w14:ligatures xmlns:w14="http://schemas.microsoft.com/office/word/2010/wordml" w14:val="none"/>
        </w:rPr>
        <w:t xml:space="preserve">,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135</w:t>
      </w:r>
      <w:r>
        <w:rPr>
          <w:rFonts w:ascii="Times New Roman" w:cs="Times New Roman" w:eastAsia="Times New Roman" w:hAnsi="Times New Roman"/>
          <w:color w:val="1b1c1d"/>
          <w:kern w:val="0"/>
          <w:lang w:eastAsia="es-MX"/>
          <w14:ligatures xmlns:w14="http://schemas.microsoft.com/office/word/2010/wordml" w14:val="none"/>
        </w:rPr>
        <w:t>, 159-176.</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Luo, H. (2023). Poder inteligente de China y la Comunidad de Futuro Compartido de la Humanidad (</w:t>
      </w:r>
      <w:r>
        <w:rPr>
          <w:rFonts w:ascii="Times New Roman" w:cs="Times New Roman" w:eastAsia="MS Gothic" w:hAnsi="Times New Roman"/>
          <w:color w:val="1b1c1d"/>
          <w:kern w:val="0"/>
          <w:lang w:eastAsia="es-MX"/>
          <w14:ligatures xmlns:w14="http://schemas.microsoft.com/office/word/2010/wordml" w14:val="none"/>
        </w:rPr>
        <w:t>中国的巧</w:t>
      </w:r>
      <w:r>
        <w:rPr>
          <w:rFonts w:ascii="Times New Roman" w:cs="Times New Roman" w:eastAsia="Noto Sans CJK JP" w:hAnsi="Times New Roman"/>
          <w:color w:val="1b1c1d"/>
          <w:kern w:val="0"/>
          <w:lang w:eastAsia="es-MX"/>
          <w14:ligatures xmlns:w14="http://schemas.microsoft.com/office/word/2010/wordml" w14:val="none"/>
        </w:rPr>
        <w:t>实</w:t>
      </w:r>
      <w:r>
        <w:rPr>
          <w:rFonts w:ascii="Times New Roman" w:cs="Times New Roman" w:eastAsia="MS Gothic" w:hAnsi="Times New Roman"/>
          <w:color w:val="1b1c1d"/>
          <w:kern w:val="0"/>
          <w:lang w:eastAsia="es-MX"/>
          <w14:ligatures xmlns:w14="http://schemas.microsoft.com/office/word/2010/wordml" w14:val="none"/>
        </w:rPr>
        <w:t>力及</w:t>
      </w:r>
      <w:r>
        <w:rPr>
          <w:rFonts w:ascii="Times New Roman" w:cs="Times New Roman" w:eastAsia="Times New Roman" w:hAnsi="Times New Roman"/>
          <w:color w:val="1b1c1d"/>
          <w:kern w:val="0"/>
          <w:lang w:eastAsia="es-MX"/>
          <w14:ligatures xmlns:w14="http://schemas.microsoft.com/office/word/2010/wordml" w14:val="none"/>
        </w:rPr>
        <w:t>”</w:t>
      </w:r>
      <w:r>
        <w:rPr>
          <w:rFonts w:ascii="Times New Roman" w:cs="Times New Roman" w:eastAsia="MS Gothic" w:hAnsi="Times New Roman"/>
          <w:color w:val="1b1c1d"/>
          <w:kern w:val="0"/>
          <w:lang w:eastAsia="es-MX"/>
          <w14:ligatures xmlns:w14="http://schemas.microsoft.com/office/word/2010/wordml" w14:val="none"/>
        </w:rPr>
        <w:t>人</w:t>
      </w:r>
      <w:r>
        <w:rPr>
          <w:rFonts w:ascii="Times New Roman" w:cs="Times New Roman" w:eastAsia="Noto Sans CJK JP" w:hAnsi="Times New Roman"/>
          <w:color w:val="1b1c1d"/>
          <w:kern w:val="0"/>
          <w:lang w:eastAsia="es-MX"/>
          <w14:ligatures xmlns:w14="http://schemas.microsoft.com/office/word/2010/wordml" w14:val="none"/>
        </w:rPr>
        <w:t>类</w:t>
      </w:r>
      <w:r>
        <w:rPr>
          <w:rFonts w:ascii="Times New Roman" w:cs="Times New Roman" w:eastAsia="MS Gothic" w:hAnsi="Times New Roman"/>
          <w:color w:val="1b1c1d"/>
          <w:kern w:val="0"/>
          <w:lang w:eastAsia="es-MX"/>
          <w14:ligatures xmlns:w14="http://schemas.microsoft.com/office/word/2010/wordml" w14:val="none"/>
        </w:rPr>
        <w:t>命运共同体</w:t>
      </w:r>
      <w:r>
        <w:rPr>
          <w:rFonts w:ascii="Times New Roman" w:cs="Times New Roman" w:eastAsia="Times New Roman" w:hAnsi="Times New Roman"/>
          <w:color w:val="1b1c1d"/>
          <w:kern w:val="0"/>
          <w:lang w:eastAsia="es-MX"/>
          <w14:ligatures xmlns:w14="http://schemas.microsoft.com/office/word/2010/wordml" w14:val="none"/>
        </w:rPr>
        <w:t xml:space="preserve">“).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Sinología Hispánica, China Studies Review</w:t>
      </w:r>
      <w:r>
        <w:rPr>
          <w:rFonts w:ascii="Times New Roman" w:cs="Times New Roman" w:eastAsia="Times New Roman" w:hAnsi="Times New Roman"/>
          <w:color w:val="1b1c1d"/>
          <w:kern w:val="0"/>
          <w:lang w:eastAsia="es-MX"/>
          <w14:ligatures xmlns:w14="http://schemas.microsoft.com/office/word/2010/wordml" w14:val="none"/>
        </w:rPr>
        <w:t xml:space="preserve">,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16</w:t>
      </w:r>
      <w:r>
        <w:rPr>
          <w:rFonts w:ascii="Times New Roman" w:cs="Times New Roman" w:eastAsia="Times New Roman" w:hAnsi="Times New Roman"/>
          <w:color w:val="1b1c1d"/>
          <w:kern w:val="0"/>
          <w:lang w:eastAsia="es-MX"/>
          <w14:ligatures xmlns:w14="http://schemas.microsoft.com/office/word/2010/wordml" w14:val="none"/>
        </w:rPr>
        <w:t>(1), 49-66.</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Lyu, H. (2023, 29 de diciembre). Yearender: Ten years on, BRI blazes new path of win-win cooperation for common development.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Xinhuanet</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"https://english.news.cn/20231229/8c658fa0ef2e4d4fab25a056b2d5c46c/c.html"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https://english.news.cn/20231229/8c658fa0ef2e4d4fab25a056b2d5c46c/c.html</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Ministerio de Desarrollo Agrario y Riego. (2024).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El TLC del Perú con China, el impacto en el sector agropecuario y el megapuerto de Chancay</w:t>
      </w:r>
      <w:r>
        <w:rPr>
          <w:rFonts w:ascii="Times New Roman" w:cs="Times New Roman" w:eastAsia="Times New Roman" w:hAnsi="Times New Roman"/>
          <w:color w:val="1b1c1d"/>
          <w:kern w:val="0"/>
          <w:lang w:eastAsia="es-MX"/>
          <w14:ligatures xmlns:w14="http://schemas.microsoft.com/office/word/2010/wordml" w14:val="none"/>
        </w:rPr>
        <w:t xml:space="preserve"> (Nota Técnica N° 011). </w:t>
      </w:r>
      <w:r>
        <w:rPr/>
        <w:fldChar w:fldCharType="begin"/>
      </w:r>
      <w:r>
        <w:instrText xml:space="preserve"> HYPERLINK "https://cdn.www.gob.pe/uploads/document/file/6639371/5063792-nota-tecnica-n-011-tlc-del-peru-con-china-el-impacto-en-el-sector-agropecuario.pdf?v=1720822650"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https://cdn.www.gob.pe/uploads/document/file/6639371/5063792-nota-tecnica-n-011-tlc-del-peru-con-china-el-impacto-en-el-sector-agropecuario.pdf?v=1720822650</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Ministerio de Relaciones Exteriores del Perú. (s.f.).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Relaciones Bilaterales Perú - China</w:t>
      </w:r>
      <w:r>
        <w:rPr>
          <w:rFonts w:ascii="Times New Roman" w:cs="Times New Roman" w:eastAsia="Times New Roman" w:hAnsi="Times New Roman"/>
          <w:color w:val="1b1c1d"/>
          <w:kern w:val="0"/>
          <w:lang w:eastAsia="es-MX"/>
          <w14:ligatures xmlns:w14="http://schemas.microsoft.com/office/word/2010/wordml" w14:val="none"/>
        </w:rPr>
        <w:t>. [Asumiendo que esta es la fuente general del ministerio sobre el tema, se necesitaría un URL específico si se refiere a un documento concreto].</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Ministerio de Relaciones Exteriores del Perú. (2024, 14 de noviembre).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Declaración conjunta entre la República del Perú y la República Popular China sobre la profundización de la Asociación Estratégica Integral</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"https://www.gob.pe/institucion/rree/noticias/1057893-declaracion-conjunta-entre-la-republica-del-peru-y-la-republica-popular-china-sobre-la-profundizacion-de-la-asociacion-estrategica-integral"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https://www.gob.pe/institucion/rree/noticias/1057893-declaracion-conjunta-entre-la-republica-del-peru-y-la-republica-popular-china-sobre-la-profundizacion-de-la-asociacion-estrategica-integral</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(S/f).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Gob.pe</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"https://www.mem.gob.pe/"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https://www.mem.gob.pe</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No title. (s.f.).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Gob.pe</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"https://www.mtc.gob.pe/"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https://www.mtc.gob.pe</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Noticias. (s.f.).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BBC</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"https://www.bbc.com/mundo"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https://www.bbc.com/mundo</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bdr w:val="none" w:sz="0" w:space="0" w:color="auto" w:frame="true"/>
          <w:lang w:eastAsia="es-MX"/>
          <w14:ligatures xmlns:w14="http://schemas.microsoft.com/office/word/2010/wordml" w14:val="none"/>
        </w:rPr>
        <w:t xml:space="preserve">Oficina del Grupo Dirigente para el Fomento de la Construcción de la Franja y la Ruta. (2019).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Iniciativa de construcción conjunta de la Franja y la Ruta.</w:t>
      </w:r>
      <w:r>
        <w:rPr>
          <w:rFonts w:ascii="Times New Roman" w:cs="Times New Roman" w:eastAsia="Times New Roman" w:hAnsi="Times New Roman"/>
          <w:i/>
          <w:iCs/>
          <w:color w:val="575b5f"/>
          <w:kern w:val="0"/>
          <w:bdr w:val="none" w:sz="0" w:space="0" w:color="auto" w:frame="true"/>
          <w:vertAlign w:val="superscript"/>
          <w:lang w:eastAsia="es-MX"/>
          <w14:ligatures xmlns:w14="http://schemas.microsoft.com/office/word/2010/wordml" w14:val="none"/>
        </w:rPr>
        <w:t>1</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 xml:space="preserve"> Avances, desafíos y perspectivas</w:t>
      </w:r>
      <w:r>
        <w:rPr>
          <w:rFonts w:ascii="Times New Roman" w:cs="Times New Roman" w:eastAsia="Times New Roman" w:hAnsi="Times New Roman"/>
          <w:color w:val="1b1c1d"/>
          <w:kern w:val="0"/>
          <w:lang w:eastAsia="es-MX"/>
          <w14:ligatures xmlns:w14="http://schemas.microsoft.com/office/word/2010/wordml" w14:val="none"/>
        </w:rPr>
        <w:t xml:space="preserve">. Ediciones en lenguas extranjeras. </w:t>
      </w:r>
      <w:r>
        <w:rPr/>
        <w:fldChar w:fldCharType="begin"/>
      </w:r>
      <w:r>
        <w:instrText xml:space="preserve"> HYPERLINK "https://esp.yidaiyilu.gov.cn/document/issue/87088.htm"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https://esp.yidaiyilu.gov.cn/document/issue/87088.htm</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Osterloh Mejía, M. I. (2018, 1-21 de marzo). Las relaciones intrarregionales entre China y América Latina y el Caribe y el Foro China – CELAC.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Simposio Electrónico Internacional sobre política china</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"https://politica-china.org/wp-content/plugins/download-attachments/includes/download.php?id=23748"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https://politica-china.org/wp-content/plugins/download-attachments/includes/download.php?id=23748</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Ostrom, E. (1990).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Governing the Commons: The Evolution of Institutions for Collective Action</w:t>
      </w:r>
      <w:r>
        <w:rPr>
          <w:rFonts w:ascii="Times New Roman" w:cs="Times New Roman" w:eastAsia="Times New Roman" w:hAnsi="Times New Roman"/>
          <w:color w:val="1b1c1d"/>
          <w:kern w:val="0"/>
          <w:lang w:eastAsia="es-MX"/>
          <w14:ligatures xmlns:w14="http://schemas.microsoft.com/office/word/2010/wordml" w14:val="none"/>
        </w:rPr>
        <w:t>. Cambridge University Press.</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Perú y la BRI: Oportunidades y riesgos de una alianza estratégica</w:t>
      </w:r>
      <w:r>
        <w:rPr>
          <w:rFonts w:ascii="Times New Roman" w:cs="Times New Roman" w:eastAsia="Times New Roman" w:hAnsi="Times New Roman"/>
          <w:color w:val="1b1c1d"/>
          <w:kern w:val="0"/>
          <w:lang w:eastAsia="es-MX"/>
          <w14:ligatures xmlns:w14="http://schemas.microsoft.com/office/word/2010/wordml" w14:val="none"/>
        </w:rPr>
        <w:t>. (2022). Fundación Friedrich Ebert.</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Plataforma del Estado Peruano. (s.f.).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Gob.pe</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"https://www.gob.pe/"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https://www.gob.pe</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Poder Judicial. (s.f.).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Gob.pe</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"https://www.pj.gob.pe/"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https://www.pj.gob.pe</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Ponce, A. (2023). Inestabilidad política, deterioro institucional y debilidad del sistema de partidos.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Política y Gobierno</w:t>
      </w:r>
      <w:r>
        <w:rPr>
          <w:rFonts w:ascii="Times New Roman" w:cs="Times New Roman" w:eastAsia="Times New Roman" w:hAnsi="Times New Roman"/>
          <w:color w:val="1b1c1d"/>
          <w:kern w:val="0"/>
          <w:lang w:eastAsia="es-MX"/>
          <w14:ligatures xmlns:w14="http://schemas.microsoft.com/office/word/2010/wordml" w14:val="none"/>
        </w:rPr>
        <w:t xml:space="preserve">,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30</w:t>
      </w:r>
      <w:r>
        <w:rPr>
          <w:rFonts w:ascii="Times New Roman" w:cs="Times New Roman" w:eastAsia="Times New Roman" w:hAnsi="Times New Roman"/>
          <w:color w:val="1b1c1d"/>
          <w:kern w:val="0"/>
          <w:lang w:eastAsia="es-MX"/>
          <w14:ligatures xmlns:w14="http://schemas.microsoft.com/office/word/2010/wordml" w14:val="none"/>
        </w:rPr>
        <w:t xml:space="preserve">(2). </w:t>
      </w:r>
      <w:r>
        <w:rPr/>
        <w:fldChar w:fldCharType="begin"/>
      </w:r>
      <w:r>
        <w:instrText xml:space="preserve"> HYPERLINK "http://www.politicaygobierno.cide.edu/index.php/pyg/article/download/1665/1108/"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http://www.politicaygobierno.cide.edu/index.php/pyg/article/download/1665/1108/</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Portal de la Franja y la Ruta. (2017).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Orientación para la promoción de la Ruta y el Cinturón Verde</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"https://eng.yidaiyilu.gov.cn/o/12479.html"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https://eng.yidaiyilu.gov.cn/o/12479.html</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Repositorio Digital :: Inicio. (s.f.).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Cepal.org</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"https://repositorio.cepal.org/"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https://repositorio.cepal.org</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Rodríguez Asien, E. (2023, 4 de julio). China invierte cada vez más y comercializa con América Latina.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Observatorio de la Política China</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"https://www.google.com/search?q=https://politica-china.otg/areas/politica-exterior/china-invierte-cada-vez-mas-y-comercializa-con-america-latina"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https://politica-china.otg/areas/politica-exterior/china-invierte-cada-vez-mas-y-comercializa-con-america-latina</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Roncal </w:t>
      </w:r>
      <w:r>
        <w:rPr>
          <w:rFonts w:ascii="Times New Roman" w:cs="Times New Roman" w:eastAsia="Times New Roman" w:hAnsi="Times New Roman"/>
          <w:color w:val="1b1c1d"/>
          <w:kern w:val="0"/>
          <w:bdr w:val="none" w:sz="0" w:space="0" w:color="auto" w:frame="true"/>
          <w:lang w:eastAsia="es-MX"/>
          <w14:ligatures xmlns:w14="http://schemas.microsoft.com/office/word/2010/wordml" w14:val="none"/>
        </w:rPr>
        <w:t>Vattuone, X. (2022, mayo-agosto). El Libro Blanco: La política de China hacia América Latina y el Caribe y su concreción en los Planes de Acción de la Comunidad de Estados Latinoamericanos</w:t>
      </w:r>
      <w:r>
        <w:rPr>
          <w:rFonts w:ascii="Times New Roman" w:cs="Times New Roman" w:eastAsia="Times New Roman" w:hAnsi="Times New Roman"/>
          <w:color w:val="575b5f"/>
          <w:kern w:val="0"/>
          <w:bdr w:val="none" w:sz="0" w:space="0" w:color="auto" w:frame="true"/>
          <w:vertAlign w:val="superscript"/>
          <w:lang w:eastAsia="es-MX"/>
          <w14:ligatures xmlns:w14="http://schemas.microsoft.com/office/word/2010/wordml" w14:val="none"/>
        </w:rPr>
        <w:t>2</w:t>
      </w:r>
      <w:r>
        <w:rPr>
          <w:rFonts w:ascii="Times New Roman" w:cs="Times New Roman" w:eastAsia="Times New Roman" w:hAnsi="Times New Roman"/>
          <w:color w:val="1b1c1d"/>
          <w:kern w:val="0"/>
          <w:lang w:eastAsia="es-MX"/>
          <w14:ligatures xmlns:w14="http://schemas.microsoft.com/office/word/2010/wordml" w14:val="none"/>
        </w:rPr>
        <w:t xml:space="preserve"> y Caribeños.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Revista de Conjeturas Sociológicas</w:t>
      </w:r>
      <w:r>
        <w:rPr>
          <w:rFonts w:ascii="Times New Roman" w:cs="Times New Roman" w:eastAsia="Times New Roman" w:hAnsi="Times New Roman"/>
          <w:color w:val="1b1c1d"/>
          <w:kern w:val="0"/>
          <w:lang w:eastAsia="es-MX"/>
          <w14:ligatures xmlns:w14="http://schemas.microsoft.com/office/word/2010/wordml" w14:val="none"/>
        </w:rPr>
        <w:t>.</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Salazar-Xirinachs, J. M. (2024, 30 de mayo). Iniciativa de la Franja y la Ruta y las oportunidades para la transformación productiva de América Latina y el Caribe.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CEPAL</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"https://www.cepal.org/es/discursos/iniciativa-la-franja-la-ruta-oportunidades-la-transfromacion-productiva-america-latina"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https://www.cepal.org/es/discursos/iniciativa-la-franja-la-ruta-oportunidades-la-transfromacion-productiva-america-latina</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Scotiabank Perú. (s.f.).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Scotiabank</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"https://www.scotiabank.com.pe/"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https://www.scotiabank.com.pe</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Sociedad de Comercio Exterior del Perú [Comexperu]. (2024, 4 de octubre).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Relación económica Perú-China: próximos avances</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"https://www.comexperu.org.pe/articulo/relacion-economica-peru-china-proximos-avances"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https://www.comexperu.org.pe/articulo/relacion-economica-peru-china-proximos-avances</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Spanish.news.cn</w:t>
      </w:r>
      <w:r>
        <w:rPr>
          <w:rFonts w:ascii="Times New Roman" w:cs="Times New Roman" w:eastAsia="Times New Roman" w:hAnsi="Times New Roman"/>
          <w:color w:val="1b1c1d"/>
          <w:kern w:val="0"/>
          <w:lang w:eastAsia="es-MX"/>
          <w14:ligatures xmlns:w14="http://schemas.microsoft.com/office/word/2010/wordml" w14:val="none"/>
        </w:rPr>
        <w:t xml:space="preserve">. (2023, 17 de octubre). (Franja y Ruta) Especial: Iniciativa de la Franja y la Ruta beneficia a Perú con proyecto que conectará sierra y selva.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Xinhuanet</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"https://spanish.news.cn/20231017/4e3dddffb94b4e078373d10677dae15a/c.html"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https://spanish.news.cn/20231017/4e3dddffb94b4e078373d10677dae15a/c.html</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Villagra, M. E. (2023, 10 de mayo). Megapuerto de Chancay: Repercusiones en el Comercio Sudamericano e Impacto Geoestratégica.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Revista Seguridad y Poder Terrestre</w:t>
      </w:r>
      <w:r>
        <w:rPr>
          <w:rFonts w:ascii="Times New Roman" w:cs="Times New Roman" w:eastAsia="Times New Roman" w:hAnsi="Times New Roman"/>
          <w:color w:val="1b1c1d"/>
          <w:kern w:val="0"/>
          <w:lang w:eastAsia="es-MX"/>
          <w14:ligatures xmlns:w14="http://schemas.microsoft.com/office/word/2010/wordml" w14:val="none"/>
        </w:rPr>
        <w:t xml:space="preserve">,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2</w:t>
      </w:r>
      <w:r>
        <w:rPr>
          <w:rFonts w:ascii="Times New Roman" w:cs="Times New Roman" w:eastAsia="Times New Roman" w:hAnsi="Times New Roman"/>
          <w:color w:val="1b1c1d"/>
          <w:kern w:val="0"/>
          <w:lang w:eastAsia="es-MX"/>
          <w14:ligatures xmlns:w14="http://schemas.microsoft.com/office/word/2010/wordml" w14:val="none"/>
        </w:rPr>
        <w:t xml:space="preserve">(2). </w:t>
      </w:r>
      <w:r>
        <w:rPr/>
        <w:fldChar w:fldCharType="begin"/>
      </w:r>
      <w:r>
        <w:instrText xml:space="preserve"> HYPERLINK "https://doi.org/10.56221/spt.v2i2.28"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https://doi.org/10.56221/spt.v2i2.28</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White Paper: 5G y Transformación Digital en</w:t>
      </w:r>
      <w:r>
        <w:rPr>
          <w:rFonts w:ascii="Times New Roman" w:cs="Times New Roman" w:eastAsia="Times New Roman" w:hAnsi="Times New Roman"/>
          <w:color w:val="1b1c1d"/>
          <w:kern w:val="0"/>
          <w:lang w:eastAsia="es-MX"/>
          <w14:ligatures xmlns:w14="http://schemas.microsoft.com/office/word/2010/wordml" w14:val="none"/>
        </w:rPr>
        <w:t>. (2023).</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Wu, R. (2004). Fructífera gira de Hu Jintao por América Latina.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China Today</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"http://www.chinatoday.com.cn/hoy/2005n/5hn1/6n1.htm"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http://www.chinatoday.com.cn/hoy/2005n/5hn1/6n1.htm</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Xie, K. (2024, 28 de junio). China and Peru agree to forge stronger economic and tech ties – starting with Chancay port.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South China Morning Post</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"https://www.scmp.com/news/china/diplomacy/article/3268525/china-and-peru-agree-forge-stronger-economic-and-tech-ties-starting-chancay-port"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https://www.scmp.com/news/china/diplomacy/article/3268525/china-and-peru-agree-forge-stronger-economic-and-tech-ties-starting-chancay-port</w:t>
      </w:r>
      <w:r>
        <w:rPr/>
        <w:fldChar w:fldCharType="end"/>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Xinhua Español. (2024, 29 de abril). AMPLIACIÓN: Perú y China comprometidos a fortalecer cooperación en economía digital y desarrollo verde.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Xinhua</w:t>
      </w:r>
      <w:r>
        <w:rPr>
          <w:rFonts w:ascii="Times New Roman" w:cs="Times New Roman" w:eastAsia="Times New Roman" w:hAnsi="Times New Roman"/>
          <w:color w:val="1b1c1d"/>
          <w:kern w:val="0"/>
          <w:lang w:eastAsia="es-MX"/>
          <w14:ligatures xmlns:w14="http://schemas.microsoft.com/office/word/2010/wordml" w14:val="none"/>
        </w:rPr>
        <w:t>. [Se necesitaría el URL específico del artículo].</w:t>
      </w:r>
    </w:p>
    <w:p>
      <w:pPr>
        <w:pStyle w:val="style0"/>
        <w:spacing w:lineRule="auto" w:line="240"/>
        <w:ind w:hanging="708"/>
        <w:jc w:val="both"/>
        <w:rPr>
          <w:rFonts w:ascii="Times New Roman" w:cs="Times New Roman" w:eastAsia="Times New Roman" w:hAnsi="Times New Roman"/>
          <w:color w:val="1b1c1d"/>
          <w:kern w:val="0"/>
          <w:lang w:eastAsia="es-MX"/>
          <w14:ligatures xmlns:w14="http://schemas.microsoft.com/office/word/2010/wordml" w14:val="none"/>
        </w:rPr>
      </w:pPr>
      <w:r>
        <w:rPr>
          <w:rFonts w:ascii="Times New Roman" w:cs="Times New Roman" w:eastAsia="Times New Roman" w:hAnsi="Times New Roman"/>
          <w:color w:val="1b1c1d"/>
          <w:kern w:val="0"/>
          <w:lang w:eastAsia="es-MX"/>
          <w14:ligatures xmlns:w14="http://schemas.microsoft.com/office/word/2010/wordml" w14:val="none"/>
        </w:rPr>
        <w:t xml:space="preserve">Xinhua Silk Road. (2023, 26 de junio). About 21st Century Maritime Silk Road. </w:t>
      </w:r>
      <w:r>
        <w:rPr>
          <w:rFonts w:ascii="Times New Roman" w:cs="Times New Roman" w:eastAsia="Times New Roman" w:hAnsi="Times New Roman"/>
          <w:i/>
          <w:iCs/>
          <w:color w:val="1b1c1d"/>
          <w:kern w:val="0"/>
          <w:bdr w:val="none" w:sz="0" w:space="0" w:color="auto" w:frame="true"/>
          <w:lang w:eastAsia="es-MX"/>
          <w14:ligatures xmlns:w14="http://schemas.microsoft.com/office/word/2010/wordml" w14:val="none"/>
        </w:rPr>
        <w:t>Belt and Road Portal</w:t>
      </w:r>
      <w:r>
        <w:rPr>
          <w:rFonts w:ascii="Times New Roman" w:cs="Times New Roman" w:eastAsia="Times New Roman" w:hAnsi="Times New Roman"/>
          <w:color w:val="1b1c1d"/>
          <w:kern w:val="0"/>
          <w:lang w:eastAsia="es-MX"/>
          <w14:ligatures xmlns:w14="http://schemas.microsoft.com/office/word/2010/wordml" w14:val="none"/>
        </w:rPr>
        <w:t xml:space="preserve">. </w:t>
      </w:r>
      <w:r>
        <w:rPr/>
        <w:fldChar w:fldCharType="begin"/>
      </w:r>
      <w:r>
        <w:instrText xml:space="preserve"> HYPERLINK "https://eng.yidaiyilu.gov.cn/p/OH647R18.html" \t "_blank" </w:instrText>
      </w:r>
      <w:r>
        <w:rPr/>
        <w:fldChar w:fldCharType="separate"/>
      </w:r>
      <w:r>
        <w:rPr>
          <w:rFonts w:ascii="Times New Roman" w:cs="Times New Roman" w:eastAsia="Times New Roman" w:hAnsi="Times New Roman"/>
          <w:color w:val="0b57d0"/>
          <w:kern w:val="0"/>
          <w:u w:val="single"/>
          <w:bdr w:val="none" w:sz="0" w:space="0" w:color="auto" w:frame="true"/>
          <w:lang w:eastAsia="es-MX"/>
          <w14:ligatures xmlns:w14="http://schemas.microsoft.com/office/word/2010/wordml" w14:val="none"/>
        </w:rPr>
        <w:t>https://eng.yidaiyilu.gov.cn/p/OH647R18.html</w:t>
      </w:r>
      <w:r>
        <w:rPr/>
        <w:fldChar w:fldCharType="end"/>
      </w:r>
    </w:p>
    <w:p>
      <w:pPr>
        <w:pStyle w:val="style0"/>
        <w:spacing w:lineRule="auto" w:line="240"/>
        <w:ind w:hanging="708"/>
        <w:jc w:val="both"/>
        <w:rPr>
          <w:rFonts w:ascii="Times New Roman" w:cs="Times New Roman" w:hAnsi="Times New Roman"/>
          <w:lang w:val="es-ES"/>
        </w:rPr>
      </w:pPr>
    </w:p>
    <w:sectPr>
      <w:pgSz w:w="12240" w:h="15840" w:orient="portrait"/>
      <w:pgMar w:top="1417" w:right="1701" w:bottom="141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DengXian">
    <w:altName w:val="等线"/>
    <w:panose1 w:val="02010600030000010101"/>
    <w:charset w:val="86"/>
    <w:family w:val="auto"/>
    <w:pitch w:val="variable"/>
    <w:sig w:usb0="A00002BF" w:usb1="38CF7CFA" w:usb2="00000016" w:usb3="00000000" w:csb0="0004000F" w:csb1="00000000"/>
  </w:font>
  <w:font w:name="Aptos">
    <w:altName w:val="Aptos"/>
    <w:panose1 w:val="020b0004020000020204"/>
    <w:charset w:val="00"/>
    <w:family w:val="swiss"/>
    <w:pitch w:val="variable"/>
    <w:sig w:usb0="20000287" w:usb1="00000003" w:usb2="00000000"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Aptos Display">
    <w:altName w:val="Aptos Display"/>
    <w:panose1 w:val="020b0004020000020204"/>
    <w:charset w:val="00"/>
    <w:family w:val="swiss"/>
    <w:pitch w:val="variable"/>
    <w:sig w:usb0="20000287" w:usb1="00000003" w:usb2="00000000" w:usb3="00000000" w:csb0="0000019F" w:csb1="00000000"/>
  </w:font>
  <w:font w:name="DengXian Light">
    <w:altName w:val="DengXian Light"/>
    <w:panose1 w:val="02010600030000010101"/>
    <w:charset w:val="86"/>
    <w:family w:val="auto"/>
    <w:pitch w:val="variable"/>
    <w:sig w:usb0="A00002BF" w:usb1="38CF7CFA" w:usb2="00000016" w:usb3="00000000" w:csb0="0004000F" w:csb1="00000000"/>
  </w:font>
  <w:font w:name="Arial">
    <w:altName w:val="Arial"/>
    <w:panose1 w:val="020b0604020000020204"/>
    <w:charset w:val="00"/>
    <w:family w:val="swiss"/>
    <w:pitch w:val="variable"/>
    <w:sig w:usb0="E0002EFF" w:usb1="C0007843" w:usb2="00000009" w:usb3="00000000" w:csb0="000001FF" w:csb1="00000000"/>
  </w:font>
  <w:font w:name="MS Gothic">
    <w:altName w:val="ＭＳ ゴシック"/>
    <w:panose1 w:val="020b0609070000080204"/>
    <w:charset w:val="80"/>
    <w:family w:val="modern"/>
    <w:pitch w:val="fixed"/>
    <w:sig w:usb0="E00002FF" w:usb1="6AC7FDFB" w:usb2="08000012" w:usb3="00000000" w:csb0="0002009F" w:csb1="00000000"/>
  </w:font>
  <w:font w:name="Noto Sans CJK JP">
    <w:altName w:val="Noto Sans CJK JP"/>
    <w:panose1 w:val="020b0500000000000000"/>
    <w:charset w:val="80"/>
    <w:family w:val="swiss"/>
    <w:pitch w:val="variable"/>
    <w:sig w:usb0="30000083" w:usb1="2BDF3C10" w:usb2="00000016" w:usb3="00000000" w:csb0="002E0107" w:csb1="00000000"/>
  </w:font>
  <w:font w:name="Cambria">
    <w:altName w:val="Cambria"/>
    <w:panose1 w:val="02040503050000030204"/>
    <w:charset w:val="00"/>
    <w:family w:val="roman"/>
    <w:pitch w:val="variable"/>
    <w:sig w:usb0="E00006FF" w:usb1="420024FF" w:usb2="02000000" w:usb3="00000000" w:csb0="0000019F" w:csb1="00000000"/>
  </w:font>
  <w:font w:name="Calibri">
    <w:altName w:val="Calibri"/>
    <w:panose1 w:val="020f0502020000030204"/>
    <w:charset w:val="00"/>
    <w:family w:val="swiss"/>
    <w:pitch w:val="variable"/>
    <w:sig w:usb0="E00002FF" w:usb1="4000ACFF" w:usb2="00000001"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jc w:val="both"/>
        <w:rPr>
          <w:rFonts w:ascii="Times New Roman" w:cs="Times New Roman" w:hAnsi="Times New Roman"/>
          <w:lang w:val="es-MX"/>
        </w:rPr>
      </w:pPr>
      <w:r>
        <w:rPr>
          <w:rStyle w:val="style38"/>
          <w:rFonts w:ascii="Times New Roman" w:cs="Times New Roman" w:hAnsi="Times New Roman"/>
        </w:rPr>
        <w:footnoteRef/>
      </w:r>
      <w:r>
        <w:rPr>
          <w:rFonts w:ascii="Times New Roman" w:cs="Times New Roman" w:hAnsi="Times New Roman"/>
        </w:rPr>
        <w:t xml:space="preserve"> El Plan Nacional de Desarrollo 2022-2026 de Perú establece una colaboración estratégica con la BRI como un eje fundamental para impulsar su agenda de desarrollo sostenible, abarcando tres dimensiones esenciales: infraestructura física, transición energética y transformación digital. En cuanto a la conectividad, el PND pone énfasis en proyectos como el tramo ferroviario Chancay-Huacho, cuya implementación a través de la BRI podría contribuir al 60% de la meta de incrementar en un 25% la capacidad portuaria </w:t>
      </w:r>
      <w:r>
        <w:rPr>
          <w:rFonts w:ascii="Times New Roman" w:cs="Times New Roman" w:hAnsi="Times New Roman"/>
        </w:rPr>
        <w:t xml:space="preserve">nacional para 2026. Sin embargo, su éxito depende de revisar ciertas cláusulas, especialmente en lo que respecta a peajes y tarifas, para equilibrar la rentabilidad económica con las externalidades sociales, como el acceso equitativo a las rutas comerciales. Asimismo, en el sector energético, se busca incorporar 3.000 MW de energías renovables, de los cuales el proyecto hidroeléctrico Chaglla II aportará el 6,7%. Sin embargo, su integración a las redes locales requiere modernizar subestaciones y establecer </w:t>
      </w:r>
      <w:r>
        <w:rPr>
          <w:rFonts w:ascii="Times New Roman" w:cs="Times New Roman" w:hAnsi="Times New Roman"/>
        </w:rPr>
        <w:t>regulaciones técnicas para evitar sobrecargas, lo que resalta la necesidad de una buena coordinación entre instituciones. En el ámbito tecnológico, la meta es digitalizar el 80% de los servicios públicos, con el apoyo de empresas chinas como Huawei, que ofrece infraestructura 5G, y Alibaba Cloud, que proporciona servicios de computación en la nube. No obstante, para que esta agenda se materialice plenamente, es crucial avanzar en la reglamentación completa de la Ley 31136 (2021) sobre protección de datos, a</w:t>
      </w:r>
      <w:r>
        <w:rPr>
          <w:rFonts w:ascii="Times New Roman" w:cs="Times New Roman" w:hAnsi="Times New Roman"/>
        </w:rPr>
        <w:t>segurando la soberanía digital sin frenar la innovación.</w:t>
      </w:r>
    </w:p>
  </w:footnote>
  <w:footnote w:id="2">
    <w:p>
      <w:pPr>
        <w:pStyle w:val="style29"/>
        <w:jc w:val="both"/>
        <w:rPr>
          <w:lang w:val="es-MX"/>
        </w:rPr>
      </w:pPr>
      <w:r>
        <w:rPr>
          <w:rStyle w:val="style38"/>
          <w:rFonts w:ascii="Times New Roman" w:cs="Times New Roman" w:hAnsi="Times New Roman"/>
        </w:rPr>
        <w:footnoteRef/>
      </w:r>
      <w:r>
        <w:rPr>
          <w:rFonts w:ascii="Times New Roman" w:cs="Times New Roman" w:hAnsi="Times New Roman"/>
        </w:rPr>
        <w:t xml:space="preserve"> Los mandatarios han sido Pedro Pablo Kuczynski (2016-2018), Martín Vizcarra (2018-2020), Mercedes Aráoz (septiembre de 2019, brevemente), Manuel Merino (noviembre de 2020, brevemente), Francisco Sagasti (2020-2021), Pedro Castillo (2021-2022) y Dina Boluarte (2022-presente). Las fechas específicas y detalles sobre los períodos se encuentran en Ponce (2023).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32C015E"/>
    <w:lvl w:ilvl="0" w:tplc="40464C10">
      <w:start w:val="1"/>
      <w:numFmt w:val="decimal"/>
      <w:lvlText w:val="%1."/>
      <w:lvlJc w:val="left"/>
      <w:pPr>
        <w:ind w:left="720" w:hanging="360"/>
      </w:pPr>
      <w:rPr>
        <w:rFonts w:eastAsia="DengXian"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SimSun" w:eastAsia="DengXian" w:hAnsi="Aptos"/>
        <w:kern w:val="2"/>
        <w:sz w:val="24"/>
        <w:szCs w:val="24"/>
        <w:lang w:val="es-US" w:bidi="ar-SA" w:eastAsia="zh-CN"/>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2">
    <w:name w:val="heading 2"/>
    <w:basedOn w:val="style0"/>
    <w:next w:val="style0"/>
    <w:link w:val="style4103"/>
    <w:qFormat/>
    <w:uiPriority w:val="9"/>
    <w:pPr>
      <w:keepNext/>
      <w:keepLines/>
      <w:spacing w:before="160" w:after="80"/>
      <w:outlineLvl w:val="1"/>
    </w:pPr>
    <w:rPr>
      <w:rFonts w:ascii="Aptos Display" w:eastAsia="DengXian Light" w:hAnsi="Aptos Display"/>
      <w:color w:val="0f4761"/>
      <w:sz w:val="32"/>
      <w:szCs w:val="3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467886"/>
      <w:u w:val="single"/>
    </w:rPr>
  </w:style>
  <w:style w:type="character" w:styleId="style38">
    <w:name w:val="footnote reference"/>
    <w:basedOn w:val="style65"/>
    <w:next w:val="style38"/>
    <w:qFormat/>
    <w:uiPriority w:val="99"/>
    <w:rPr>
      <w:vertAlign w:val="superscript"/>
    </w:rPr>
  </w:style>
  <w:style w:type="paragraph" w:customStyle="1" w:styleId="style4097">
    <w:name w:val="Texto nota pie1"/>
    <w:basedOn w:val="style0"/>
    <w:next w:val="style29"/>
    <w:link w:val="style4098"/>
    <w:qFormat/>
    <w:uiPriority w:val="99"/>
    <w:pPr>
      <w:spacing w:after="0" w:lineRule="auto" w:line="240"/>
    </w:pPr>
    <w:rPr>
      <w:lang w:eastAsia="es-ES"/>
    </w:rPr>
  </w:style>
  <w:style w:type="character" w:customStyle="1" w:styleId="style4098">
    <w:name w:val="Texto nota pie Car"/>
    <w:basedOn w:val="style65"/>
    <w:next w:val="style4098"/>
    <w:link w:val="style4097"/>
    <w:qFormat/>
    <w:uiPriority w:val="99"/>
    <w:rPr>
      <w:kern w:val="2"/>
      <w:lang w:eastAsia="es-ES"/>
      <w14:ligatures xmlns:w14="http://schemas.microsoft.com/office/word/2010/wordml" w14:val="standardContextual"/>
    </w:rPr>
  </w:style>
  <w:style w:type="paragraph" w:styleId="style29">
    <w:name w:val="footnote text"/>
    <w:basedOn w:val="style0"/>
    <w:next w:val="style29"/>
    <w:link w:val="style4099"/>
    <w:qFormat/>
    <w:uiPriority w:val="99"/>
    <w:pPr>
      <w:spacing w:after="0" w:lineRule="auto" w:line="240"/>
    </w:pPr>
    <w:rPr>
      <w:sz w:val="20"/>
      <w:szCs w:val="20"/>
    </w:rPr>
  </w:style>
  <w:style w:type="character" w:customStyle="1" w:styleId="style4099">
    <w:name w:val="Note de bas de page Car"/>
    <w:basedOn w:val="style65"/>
    <w:next w:val="style4099"/>
    <w:link w:val="style29"/>
    <w:uiPriority w:val="99"/>
    <w:rPr>
      <w:sz w:val="20"/>
      <w:szCs w:val="20"/>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0"/>
    <w:uiPriority w:val="99"/>
    <w:pPr>
      <w:tabs>
        <w:tab w:val="center" w:leader="none" w:pos="4419"/>
        <w:tab w:val="right" w:leader="none" w:pos="8838"/>
      </w:tabs>
      <w:spacing w:after="0" w:lineRule="auto" w:line="240"/>
    </w:pPr>
    <w:rPr/>
  </w:style>
  <w:style w:type="character" w:customStyle="1" w:styleId="style4100">
    <w:name w:val="En-tête Car"/>
    <w:basedOn w:val="style65"/>
    <w:next w:val="style4100"/>
    <w:link w:val="style31"/>
    <w:uiPriority w:val="99"/>
  </w:style>
  <w:style w:type="paragraph" w:styleId="style32">
    <w:name w:val="footer"/>
    <w:basedOn w:val="style0"/>
    <w:next w:val="style32"/>
    <w:link w:val="style4101"/>
    <w:uiPriority w:val="99"/>
    <w:pPr>
      <w:tabs>
        <w:tab w:val="center" w:leader="none" w:pos="4419"/>
        <w:tab w:val="right" w:leader="none" w:pos="8838"/>
      </w:tabs>
      <w:spacing w:after="0" w:lineRule="auto" w:line="240"/>
    </w:pPr>
    <w:rPr/>
  </w:style>
  <w:style w:type="character" w:customStyle="1" w:styleId="style4101">
    <w:name w:val="Pied de page Car"/>
    <w:basedOn w:val="style65"/>
    <w:next w:val="style4101"/>
    <w:link w:val="style32"/>
    <w:uiPriority w:val="99"/>
  </w:style>
  <w:style w:type="character" w:customStyle="1" w:styleId="style4102">
    <w:name w:val="Mention non résolue1"/>
    <w:basedOn w:val="style65"/>
    <w:next w:val="style4102"/>
    <w:uiPriority w:val="99"/>
    <w:rPr>
      <w:color w:val="605e5c"/>
      <w:shd w:val="clear" w:color="auto" w:fill="e1dfdd"/>
    </w:rPr>
  </w:style>
  <w:style w:type="character" w:customStyle="1" w:styleId="style4103">
    <w:name w:val="Titre 2 Car"/>
    <w:basedOn w:val="style65"/>
    <w:next w:val="style4103"/>
    <w:link w:val="style2"/>
    <w:uiPriority w:val="9"/>
    <w:rPr>
      <w:rFonts w:ascii="Aptos Display" w:cs="SimSun" w:eastAsia="DengXian Light" w:hAnsi="Aptos Display"/>
      <w:color w:val="0f4761"/>
      <w:sz w:val="32"/>
      <w:szCs w:val="3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notes" Target="footnotes.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F22457-3990-468B-97B8-64659EEB4F8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5570</Words>
  <Pages>16</Pages>
  <Characters>32915</Characters>
  <Application>WPS Office</Application>
  <DocSecurity>0</DocSecurity>
  <Paragraphs>126</Paragraphs>
  <ScaleCrop>false</ScaleCrop>
  <LinksUpToDate>false</LinksUpToDate>
  <CharactersWithSpaces>38376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2025-06-03T13:36:00Z</dcterms:created>
  <dc:creator>Apache POI</dc:creator>
  <lastModifiedBy>24117RN76L</lastModifiedBy>
  <dcterms:modified xsi:type="dcterms:W3CDTF">2025-08-09T23:48:56Z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0d22917162724cd98f2259d4602e0b5e</vt:lpwstr>
  </property>
</Properties>
</file>